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承 诺 书</w:t>
      </w:r>
    </w:p>
    <w:p>
      <w:pPr>
        <w:spacing w:line="420" w:lineRule="exact"/>
        <w:jc w:val="center"/>
        <w:rPr>
          <w:rFonts w:hint="default" w:ascii="Times New Roman" w:hAnsi="Times New Roman" w:eastAsia="方正仿宋简体" w:cs="Times New Roman"/>
          <w:b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赣州城市投资控股集团有限责任公司：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本单位自愿参加赣州城投集团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2021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年度招聘中介机构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备选库入库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比选，并保证比选文件中所列举文件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相关资料真实、有效、合法。为此,本公司承诺如下：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1.同意比选文件中的有关规定。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2.同意提供按照贵方要求的与比选有关的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所有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3.本单位如中选，保证按照比选文件的承诺与贵方签订相应协议。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4.无论本单位中选或者落选，均保证不向任何第三方泄露贵方本次机构比选的相关信息，不向任何第三方泄露获得的或收到的任何文件资料及非公开信息。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5.本单位参与本次比选申请，保证不存在以下情形：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（1）提供虚假材料谋取中选；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（2）采取不正当手段诋毁、排挤其他比选申请人；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（3）与其它比选人申请人恶意串通；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（4）向集团招聘中介机构备选库比选小组</w:t>
      </w:r>
      <w:r>
        <w:rPr>
          <w:rFonts w:hint="eastAsia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成或其他工作人员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行贿或者提供其他不正当利益；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（5）拒绝有关部门监督检查或提供虚假情况；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（6）有其他违规行为。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080" w:firstLineChars="8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lang w:val="en-US" w:eastAsia="zh-CN"/>
        </w:rPr>
        <w:t>签字</w:t>
      </w: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080" w:firstLineChars="8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法定代表人或授权委托人（签字或盖章）：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20" w:firstLineChars="2200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sectPr>
          <w:footerReference r:id="rId5" w:type="first"/>
          <w:footerReference r:id="rId4" w:type="default"/>
          <w:pgSz w:w="11850" w:h="16783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6"/>
          <w:szCs w:val="26"/>
          <w:u w:val="none"/>
          <w:lang w:val="en-US" w:eastAsia="zh-CN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06A8B"/>
    <w:rsid w:val="6330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2021-06-10T08:38:00Z</dcterms:created>
  <dc:creator>吢丕丶</dc:creator>
  <cp:lastModifiedBy>吢丕丶</cp:lastModifiedBy>
  <dcterms:modified xsi:type="dcterms:W3CDTF">2021-06-10T08:38:45Z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ACB397D9CE334C4189281AD357708243</vt:lpwstr>
  </property>
</Properties>
</file>