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940" w:lineRule="exact"/>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lang w:eastAsia="zh-CN"/>
        </w:rPr>
        <w:t>赣州土地置业投资有限责任公司下属</w:t>
      </w:r>
      <w:r>
        <w:rPr>
          <w:rFonts w:hint="eastAsia" w:ascii="仿宋" w:hAnsi="仿宋" w:eastAsia="仿宋" w:cs="仿宋"/>
          <w:b/>
          <w:bCs/>
          <w:color w:val="auto"/>
          <w:sz w:val="36"/>
          <w:szCs w:val="36"/>
          <w:lang w:val="en-US" w:eastAsia="zh-CN"/>
        </w:rPr>
        <w:t>三家</w:t>
      </w:r>
      <w:r>
        <w:rPr>
          <w:rFonts w:hint="eastAsia" w:ascii="仿宋" w:hAnsi="仿宋" w:eastAsia="仿宋" w:cs="仿宋"/>
          <w:b/>
          <w:bCs/>
          <w:color w:val="auto"/>
          <w:sz w:val="36"/>
          <w:szCs w:val="36"/>
          <w:lang w:eastAsia="zh-CN"/>
        </w:rPr>
        <w:t>子公司</w:t>
      </w:r>
      <w:r>
        <w:rPr>
          <w:rFonts w:hint="eastAsia" w:ascii="仿宋" w:hAnsi="仿宋" w:eastAsia="仿宋" w:cs="仿宋"/>
          <w:b/>
          <w:bCs/>
          <w:color w:val="auto"/>
          <w:sz w:val="36"/>
          <w:szCs w:val="36"/>
          <w:lang w:val="en-US" w:eastAsia="zh-CN"/>
        </w:rPr>
        <w:t>各80%</w:t>
      </w:r>
      <w:r>
        <w:rPr>
          <w:rFonts w:hint="eastAsia" w:ascii="仿宋" w:hAnsi="仿宋" w:eastAsia="仿宋" w:cs="仿宋"/>
          <w:b/>
          <w:bCs/>
          <w:color w:val="auto"/>
          <w:sz w:val="36"/>
          <w:szCs w:val="36"/>
          <w:lang w:eastAsia="zh-CN"/>
        </w:rPr>
        <w:t>股权</w:t>
      </w:r>
      <w:r>
        <w:rPr>
          <w:rFonts w:hint="eastAsia" w:ascii="仿宋" w:hAnsi="仿宋" w:eastAsia="仿宋" w:cs="仿宋"/>
          <w:b/>
          <w:bCs/>
          <w:color w:val="auto"/>
          <w:sz w:val="36"/>
          <w:szCs w:val="36"/>
          <w:lang w:val="en-US" w:eastAsia="zh-CN"/>
        </w:rPr>
        <w:t>捆绑</w:t>
      </w:r>
      <w:r>
        <w:rPr>
          <w:rFonts w:hint="eastAsia" w:ascii="仿宋" w:hAnsi="仿宋" w:eastAsia="仿宋" w:cs="仿宋"/>
          <w:b/>
          <w:bCs/>
          <w:color w:val="auto"/>
          <w:sz w:val="36"/>
          <w:szCs w:val="36"/>
        </w:rPr>
        <w:t>公开转让</w:t>
      </w:r>
    </w:p>
    <w:p>
      <w:pPr>
        <w:spacing w:line="940" w:lineRule="exact"/>
        <w:jc w:val="center"/>
        <w:rPr>
          <w:rFonts w:hint="default" w:ascii="仿宋_GB2312" w:hAnsi="仿宋_GB2312" w:eastAsia="仿宋" w:cs="仿宋_GB2312"/>
          <w:b/>
          <w:color w:val="auto"/>
          <w:sz w:val="28"/>
          <w:szCs w:val="28"/>
          <w:lang w:val="en-US" w:eastAsia="zh-CN"/>
        </w:rPr>
      </w:pPr>
      <w:r>
        <w:rPr>
          <w:rFonts w:hint="eastAsia" w:ascii="仿宋" w:hAnsi="仿宋" w:eastAsia="仿宋" w:cs="仿宋"/>
          <w:b/>
          <w:bCs/>
          <w:color w:val="auto"/>
          <w:sz w:val="36"/>
          <w:szCs w:val="36"/>
          <w:lang w:val="en-US" w:eastAsia="zh-CN"/>
        </w:rPr>
        <w:t>预披露信息资料</w:t>
      </w:r>
    </w:p>
    <w:p>
      <w:pPr>
        <w:spacing w:line="1100" w:lineRule="exact"/>
        <w:jc w:val="center"/>
        <w:rPr>
          <w:rFonts w:hint="eastAsia" w:ascii="仿宋_GB2312" w:hAnsi="仿宋_GB2312" w:eastAsia="仿宋_GB2312" w:cs="仿宋_GB2312"/>
          <w:b/>
          <w:color w:val="auto"/>
          <w:sz w:val="36"/>
          <w:szCs w:val="36"/>
        </w:rPr>
      </w:pPr>
      <w:r>
        <w:rPr>
          <w:rFonts w:hint="eastAsia" w:ascii="仿宋_GB2312" w:hAnsi="仿宋_GB2312" w:eastAsia="仿宋_GB2312" w:cs="仿宋_GB2312"/>
          <w:b/>
          <w:color w:val="auto"/>
          <w:sz w:val="28"/>
          <w:szCs w:val="28"/>
        </w:rPr>
        <w:t>（202</w:t>
      </w:r>
      <w:r>
        <w:rPr>
          <w:rFonts w:hint="eastAsia" w:ascii="仿宋_GB2312" w:hAnsi="仿宋_GB2312" w:eastAsia="仿宋_GB2312" w:cs="仿宋_GB2312"/>
          <w:b/>
          <w:color w:val="auto"/>
          <w:sz w:val="28"/>
          <w:szCs w:val="28"/>
          <w:lang w:val="en-US" w:eastAsia="zh-CN"/>
        </w:rPr>
        <w:t>1</w:t>
      </w:r>
      <w:r>
        <w:rPr>
          <w:rFonts w:hint="eastAsia" w:ascii="仿宋_GB2312" w:hAnsi="仿宋_GB2312" w:eastAsia="仿宋_GB2312" w:cs="仿宋_GB2312"/>
          <w:b/>
          <w:color w:val="auto"/>
          <w:sz w:val="28"/>
          <w:szCs w:val="28"/>
        </w:rPr>
        <w:t>年第</w:t>
      </w:r>
      <w:r>
        <w:rPr>
          <w:rFonts w:hint="eastAsia" w:ascii="仿宋_GB2312" w:hAnsi="仿宋_GB2312" w:eastAsia="仿宋_GB2312" w:cs="仿宋_GB2312"/>
          <w:b/>
          <w:color w:val="auto"/>
          <w:sz w:val="28"/>
          <w:szCs w:val="28"/>
          <w:lang w:val="en-US" w:eastAsia="zh-CN"/>
        </w:rPr>
        <w:t>10</w:t>
      </w:r>
      <w:r>
        <w:rPr>
          <w:rFonts w:hint="eastAsia" w:ascii="仿宋_GB2312" w:hAnsi="仿宋_GB2312" w:eastAsia="仿宋_GB2312" w:cs="仿宋_GB2312"/>
          <w:b/>
          <w:color w:val="auto"/>
          <w:sz w:val="28"/>
          <w:szCs w:val="28"/>
        </w:rPr>
        <w:t>号）</w:t>
      </w:r>
    </w:p>
    <w:p>
      <w:pPr>
        <w:shd w:val="pct20" w:color="auto" w:fill="D9D9D9"/>
        <w:ind w:right="40"/>
        <w:jc w:val="center"/>
        <w:outlineLvl w:val="0"/>
        <w:rPr>
          <w:rFonts w:hint="eastAsia" w:ascii="仿宋_GB2312" w:hAnsi="仿宋_GB2312" w:eastAsia="仿宋_GB2312" w:cs="仿宋_GB2312"/>
          <w:b/>
          <w:bCs/>
          <w:color w:val="auto"/>
          <w:spacing w:val="40"/>
          <w:sz w:val="32"/>
          <w:szCs w:val="32"/>
        </w:rPr>
      </w:pPr>
      <w:r>
        <w:rPr>
          <w:rFonts w:hint="eastAsia" w:ascii="仿宋_GB2312" w:hAnsi="仿宋_GB2312" w:eastAsia="仿宋_GB2312" w:cs="仿宋_GB2312"/>
          <w:b/>
          <w:bCs/>
          <w:color w:val="auto"/>
          <w:spacing w:val="20"/>
          <w:sz w:val="32"/>
          <w:szCs w:val="32"/>
        </w:rPr>
        <w:t>标的展示地点：标的公司所在地</w:t>
      </w:r>
    </w:p>
    <w:p>
      <w:pPr>
        <w:rPr>
          <w:rFonts w:hint="eastAsia" w:ascii="仿宋_GB2312" w:hAnsi="仿宋_GB2312" w:eastAsia="仿宋_GB2312" w:cs="仿宋_GB2312"/>
          <w:color w:val="auto"/>
          <w:sz w:val="30"/>
        </w:rPr>
      </w:pPr>
    </w:p>
    <w:p>
      <w:pPr>
        <w:rPr>
          <w:rFonts w:hint="eastAsia" w:ascii="仿宋_GB2312" w:hAnsi="仿宋_GB2312" w:eastAsia="仿宋_GB2312" w:cs="仿宋_GB2312"/>
          <w:color w:val="auto"/>
          <w:sz w:val="30"/>
        </w:rPr>
      </w:pPr>
      <w:r>
        <w:rPr>
          <w:rFonts w:hint="eastAsia" w:ascii="仿宋_GB2312" w:hAnsi="仿宋_GB2312" w:eastAsia="仿宋_GB2312" w:cs="仿宋_GB2312"/>
          <w:color w:val="auto"/>
          <w:sz w:val="44"/>
          <w:szCs w:val="44"/>
        </w:rPr>
        <w:drawing>
          <wp:anchor distT="0" distB="0" distL="114300" distR="114300" simplePos="0" relativeHeight="251665408" behindDoc="0" locked="0" layoutInCell="1" allowOverlap="1">
            <wp:simplePos x="0" y="0"/>
            <wp:positionH relativeFrom="column">
              <wp:posOffset>1744345</wp:posOffset>
            </wp:positionH>
            <wp:positionV relativeFrom="paragraph">
              <wp:posOffset>379095</wp:posOffset>
            </wp:positionV>
            <wp:extent cx="2464435" cy="2040255"/>
            <wp:effectExtent l="0" t="0" r="12065" b="1714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2464435" cy="2040255"/>
                    </a:xfrm>
                    <a:prstGeom prst="rect">
                      <a:avLst/>
                    </a:prstGeom>
                    <a:noFill/>
                    <a:ln>
                      <a:noFill/>
                    </a:ln>
                  </pic:spPr>
                </pic:pic>
              </a:graphicData>
            </a:graphic>
          </wp:anchor>
        </w:drawing>
      </w:r>
    </w:p>
    <w:p>
      <w:pPr>
        <w:spacing w:line="900" w:lineRule="exact"/>
        <w:rPr>
          <w:rFonts w:hint="eastAsia" w:ascii="仿宋_GB2312" w:hAnsi="仿宋_GB2312" w:eastAsia="仿宋_GB2312" w:cs="仿宋_GB2312"/>
          <w:color w:val="auto"/>
          <w:sz w:val="48"/>
        </w:rPr>
      </w:pPr>
    </w:p>
    <w:tbl>
      <w:tblPr>
        <w:tblStyle w:val="8"/>
        <w:tblW w:w="6718" w:type="dxa"/>
        <w:jc w:val="center"/>
        <w:tblInd w:w="0" w:type="dxa"/>
        <w:tblLayout w:type="fixed"/>
        <w:tblCellMar>
          <w:top w:w="0" w:type="dxa"/>
          <w:left w:w="108" w:type="dxa"/>
          <w:bottom w:w="0" w:type="dxa"/>
          <w:right w:w="108" w:type="dxa"/>
        </w:tblCellMar>
      </w:tblPr>
      <w:tblGrid>
        <w:gridCol w:w="6718"/>
      </w:tblGrid>
      <w:tr>
        <w:tblPrEx>
          <w:tblLayout w:type="fixed"/>
          <w:tblCellMar>
            <w:top w:w="0" w:type="dxa"/>
            <w:left w:w="108" w:type="dxa"/>
            <w:bottom w:w="0" w:type="dxa"/>
            <w:right w:w="108" w:type="dxa"/>
          </w:tblCellMar>
        </w:tblPrEx>
        <w:trPr>
          <w:trHeight w:val="1361" w:hRule="atLeast"/>
          <w:jc w:val="center"/>
        </w:trPr>
        <w:tc>
          <w:tcPr>
            <w:tcW w:w="6718" w:type="dxa"/>
            <w:noWrap w:val="0"/>
            <w:vAlign w:val="top"/>
          </w:tcPr>
          <w:p>
            <w:pPr>
              <w:spacing w:line="560" w:lineRule="exact"/>
              <w:jc w:val="center"/>
              <w:rPr>
                <w:rFonts w:hint="eastAsia" w:ascii="仿宋_GB2312" w:hAnsi="仿宋_GB2312" w:eastAsia="仿宋_GB2312" w:cs="仿宋_GB2312"/>
                <w:b/>
                <w:bCs/>
                <w:color w:val="auto"/>
                <w:spacing w:val="30"/>
                <w:sz w:val="32"/>
                <w:szCs w:val="32"/>
              </w:rPr>
            </w:pPr>
            <w:r>
              <w:rPr>
                <w:rFonts w:hint="eastAsia" w:ascii="仿宋_GB2312" w:hAnsi="仿宋_GB2312" w:eastAsia="仿宋_GB2312" w:cs="仿宋_GB2312"/>
                <w:b/>
                <w:bCs/>
                <w:color w:val="auto"/>
                <w:spacing w:val="30"/>
                <w:sz w:val="32"/>
                <w:szCs w:val="32"/>
              </w:rPr>
              <w:t>赣州市公共资源交易中心</w:t>
            </w:r>
          </w:p>
          <w:p>
            <w:pPr>
              <w:spacing w:line="560" w:lineRule="exact"/>
              <w:jc w:val="center"/>
              <w:rPr>
                <w:rFonts w:hint="default" w:ascii="仿宋_GB2312" w:hAnsi="仿宋_GB2312" w:eastAsia="仿宋_GB2312" w:cs="仿宋_GB2312"/>
                <w:b/>
                <w:bCs/>
                <w:color w:val="auto"/>
                <w:sz w:val="24"/>
                <w:lang w:val="en-US" w:eastAsia="zh-CN"/>
              </w:rPr>
            </w:pPr>
            <w:r>
              <w:rPr>
                <w:rFonts w:hint="default" w:ascii="仿宋_GB2312" w:hAnsi="仿宋_GB2312" w:eastAsia="仿宋_GB2312" w:cs="仿宋_GB2312"/>
                <w:b/>
                <w:bCs/>
                <w:color w:val="auto"/>
                <w:sz w:val="32"/>
                <w:szCs w:val="32"/>
                <w:lang w:val="en-US"/>
              </w:rPr>
              <mc:AlternateContent>
                <mc:Choice Requires="wps">
                  <w:drawing>
                    <wp:anchor distT="0" distB="0" distL="114300" distR="114300" simplePos="0" relativeHeight="251664384" behindDoc="0" locked="0" layoutInCell="1" allowOverlap="1">
                      <wp:simplePos x="0" y="0"/>
                      <wp:positionH relativeFrom="column">
                        <wp:posOffset>-684530</wp:posOffset>
                      </wp:positionH>
                      <wp:positionV relativeFrom="paragraph">
                        <wp:posOffset>407670</wp:posOffset>
                      </wp:positionV>
                      <wp:extent cx="5400675" cy="0"/>
                      <wp:effectExtent l="0" t="13970" r="9525" b="24130"/>
                      <wp:wrapNone/>
                      <wp:docPr id="3" name="直接连接符 3"/>
                      <wp:cNvGraphicFramePr/>
                      <a:graphic xmlns:a="http://schemas.openxmlformats.org/drawingml/2006/main">
                        <a:graphicData uri="http://schemas.microsoft.com/office/word/2010/wordprocessingShape">
                          <wps:wsp>
                            <wps:cNvCnPr/>
                            <wps:spPr>
                              <a:xfrm>
                                <a:off x="0" y="0"/>
                                <a:ext cx="5400675" cy="0"/>
                              </a:xfrm>
                              <a:prstGeom prst="line">
                                <a:avLst/>
                              </a:prstGeom>
                              <a:ln w="2857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53.9pt;margin-top:32.1pt;height:0pt;width:425.25pt;z-index:251664384;mso-width-relative:page;mso-height-relative:page;" filled="f" stroked="t" coordsize="21600,21600" o:gfxdata="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OSHf3XYAAAACgEAAA8A&#10;AAAAAAAAAQAgAAAAIgAAAGRycy9kb3ducmV2LnhtbFBLAQIUABQAAAAIAIdO4kBmgFfJ3gEAAKUD&#10;AAAOAAAAAAAAAAEAIAAAACcBAABkcnMvZTJvRG9jLnhtbFBLBQYAAAAABgAGAFkBAAB3BQAAAAA=&#10;">
                      <v:fill on="f" focussize="0,0"/>
                      <v:stroke weight="2.25pt" color="#000000" joinstyle="round"/>
                      <v:imagedata o:title=""/>
                      <o:lock v:ext="edit" aspectratio="f"/>
                    </v:line>
                  </w:pict>
                </mc:Fallback>
              </mc:AlternateContent>
            </w:r>
            <w:r>
              <w:rPr>
                <w:rFonts w:hint="eastAsia" w:ascii="仿宋_GB2312" w:hAnsi="仿宋_GB2312" w:eastAsia="仿宋_GB2312" w:cs="仿宋_GB2312"/>
                <w:b/>
                <w:bCs/>
                <w:color w:val="auto"/>
                <w:sz w:val="32"/>
                <w:szCs w:val="32"/>
                <w:lang w:val="en-US" w:eastAsia="zh-CN"/>
              </w:rPr>
              <w:t>赣州诚兴拍卖有限公司</w:t>
            </w:r>
          </w:p>
        </w:tc>
      </w:tr>
    </w:tbl>
    <w:p>
      <w:pPr>
        <w:spacing w:line="500" w:lineRule="exact"/>
        <w:rPr>
          <w:rFonts w:hint="eastAsia" w:ascii="仿宋_GB2312" w:hAnsi="仿宋_GB2312" w:eastAsia="仿宋_GB2312" w:cs="仿宋_GB2312"/>
          <w:b/>
          <w:bCs/>
          <w:color w:val="auto"/>
          <w:sz w:val="36"/>
          <w:szCs w:val="36"/>
        </w:rPr>
      </w:pPr>
    </w:p>
    <w:p>
      <w:pPr>
        <w:spacing w:line="500" w:lineRule="exact"/>
        <w:jc w:val="center"/>
        <w:rPr>
          <w:rFonts w:hint="eastAsia" w:ascii="仿宋_GB2312" w:hAnsi="仿宋_GB2312" w:eastAsia="仿宋_GB2312" w:cs="仿宋_GB2312"/>
          <w:color w:val="auto"/>
          <w:sz w:val="40"/>
          <w:szCs w:val="40"/>
        </w:rPr>
      </w:pPr>
      <w:r>
        <w:rPr>
          <w:rFonts w:hint="eastAsia" w:ascii="仿宋_GB2312" w:hAnsi="仿宋_GB2312" w:eastAsia="仿宋_GB2312" w:cs="仿宋_GB2312"/>
          <w:b/>
          <w:bCs/>
          <w:color w:val="auto"/>
          <w:sz w:val="32"/>
          <w:szCs w:val="32"/>
        </w:rPr>
        <w:t>二 O 二</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 xml:space="preserve">年 </w:t>
      </w:r>
      <w:r>
        <w:rPr>
          <w:rFonts w:hint="eastAsia" w:ascii="仿宋_GB2312" w:hAnsi="仿宋_GB2312" w:eastAsia="仿宋_GB2312" w:cs="仿宋_GB2312"/>
          <w:b/>
          <w:bCs/>
          <w:color w:val="auto"/>
          <w:sz w:val="32"/>
          <w:szCs w:val="32"/>
          <w:lang w:val="en-US" w:eastAsia="zh-CN"/>
        </w:rPr>
        <w:t>一</w:t>
      </w:r>
      <w:r>
        <w:rPr>
          <w:rFonts w:hint="eastAsia" w:ascii="仿宋_GB2312" w:hAnsi="仿宋_GB2312" w:eastAsia="仿宋_GB2312" w:cs="仿宋_GB2312"/>
          <w:b/>
          <w:bCs/>
          <w:color w:val="auto"/>
          <w:sz w:val="32"/>
          <w:szCs w:val="32"/>
        </w:rPr>
        <w:t>月</w:t>
      </w:r>
    </w:p>
    <w:p/>
    <w:p>
      <w:pPr>
        <w:pStyle w:val="2"/>
      </w:pPr>
    </w:p>
    <w:p>
      <w:pPr>
        <w:pStyle w:val="2"/>
      </w:pPr>
    </w:p>
    <w:p>
      <w:pPr>
        <w:spacing w:line="560" w:lineRule="exact"/>
        <w:jc w:val="center"/>
        <w:rPr>
          <w:rFonts w:hint="eastAsia" w:ascii="仿宋" w:hAnsi="仿宋" w:eastAsia="仿宋" w:cs="仿宋"/>
          <w:b/>
          <w:bCs/>
          <w:color w:val="auto"/>
          <w:sz w:val="36"/>
          <w:szCs w:val="36"/>
        </w:rPr>
      </w:pPr>
      <w:r>
        <w:rPr>
          <w:rFonts w:hint="eastAsia" w:ascii="仿宋" w:hAnsi="仿宋" w:eastAsia="仿宋" w:cs="仿宋"/>
          <w:b/>
          <w:bCs/>
          <w:color w:val="auto"/>
          <w:sz w:val="36"/>
          <w:szCs w:val="36"/>
          <w:lang w:eastAsia="zh-CN"/>
        </w:rPr>
        <w:t>赣州土地置业投资有限责任公司下属</w:t>
      </w:r>
      <w:r>
        <w:rPr>
          <w:rFonts w:hint="eastAsia" w:ascii="仿宋" w:hAnsi="仿宋" w:eastAsia="仿宋" w:cs="仿宋"/>
          <w:b/>
          <w:bCs/>
          <w:color w:val="auto"/>
          <w:sz w:val="36"/>
          <w:szCs w:val="36"/>
          <w:lang w:val="en-US" w:eastAsia="zh-CN"/>
        </w:rPr>
        <w:t>三家</w:t>
      </w:r>
      <w:r>
        <w:rPr>
          <w:rFonts w:hint="eastAsia" w:ascii="仿宋" w:hAnsi="仿宋" w:eastAsia="仿宋" w:cs="仿宋"/>
          <w:b/>
          <w:bCs/>
          <w:color w:val="auto"/>
          <w:sz w:val="36"/>
          <w:szCs w:val="36"/>
          <w:lang w:eastAsia="zh-CN"/>
        </w:rPr>
        <w:t>子公司</w:t>
      </w:r>
      <w:r>
        <w:rPr>
          <w:rFonts w:hint="eastAsia" w:ascii="仿宋" w:hAnsi="仿宋" w:eastAsia="仿宋" w:cs="仿宋"/>
          <w:b/>
          <w:bCs/>
          <w:color w:val="auto"/>
          <w:sz w:val="36"/>
          <w:szCs w:val="36"/>
          <w:lang w:val="en-US" w:eastAsia="zh-CN"/>
        </w:rPr>
        <w:t>各80%</w:t>
      </w:r>
      <w:r>
        <w:rPr>
          <w:rFonts w:hint="eastAsia" w:ascii="仿宋" w:hAnsi="仿宋" w:eastAsia="仿宋" w:cs="仿宋"/>
          <w:b/>
          <w:bCs/>
          <w:color w:val="auto"/>
          <w:sz w:val="36"/>
          <w:szCs w:val="36"/>
          <w:lang w:eastAsia="zh-CN"/>
        </w:rPr>
        <w:t>股权</w:t>
      </w:r>
      <w:r>
        <w:rPr>
          <w:rFonts w:hint="eastAsia" w:ascii="仿宋" w:hAnsi="仿宋" w:eastAsia="仿宋" w:cs="仿宋"/>
          <w:b/>
          <w:bCs/>
          <w:color w:val="auto"/>
          <w:sz w:val="36"/>
          <w:szCs w:val="36"/>
          <w:lang w:val="en-US" w:eastAsia="zh-CN"/>
        </w:rPr>
        <w:t>捆绑</w:t>
      </w:r>
      <w:r>
        <w:rPr>
          <w:rFonts w:hint="eastAsia" w:ascii="仿宋" w:hAnsi="仿宋" w:eastAsia="仿宋" w:cs="仿宋"/>
          <w:b/>
          <w:bCs/>
          <w:color w:val="auto"/>
          <w:sz w:val="36"/>
          <w:szCs w:val="36"/>
        </w:rPr>
        <w:t>公开转让预披露拍卖信息公告</w:t>
      </w:r>
    </w:p>
    <w:p>
      <w:pPr>
        <w:pStyle w:val="2"/>
        <w:rPr>
          <w:rFonts w:hint="eastAsia"/>
          <w:color w:val="auto"/>
        </w:rPr>
      </w:pPr>
    </w:p>
    <w:p>
      <w:pPr>
        <w:pStyle w:val="7"/>
        <w:keepNext w:val="0"/>
        <w:keepLines w:val="0"/>
        <w:widowControl/>
        <w:suppressLineNumbers w:val="0"/>
        <w:spacing w:before="466" w:beforeAutospacing="0" w:after="0" w:afterAutospacing="0" w:line="360" w:lineRule="auto"/>
        <w:ind w:left="0" w:right="0" w:firstLine="560"/>
        <w:jc w:val="both"/>
        <w:rPr>
          <w:rFonts w:hint="eastAsia" w:ascii="仿宋_GB2312" w:hAnsi="仿宋_GB2312" w:eastAsia="仿宋_GB2312" w:cs="仿宋_GB2312"/>
          <w:b w:val="0"/>
          <w:bCs w:val="0"/>
          <w:color w:val="auto"/>
          <w:sz w:val="28"/>
          <w:szCs w:val="28"/>
        </w:rPr>
      </w:pPr>
      <w:r>
        <w:rPr>
          <w:rFonts w:hint="eastAsia" w:ascii="仿宋" w:hAnsi="仿宋" w:eastAsia="仿宋" w:cs="仿宋"/>
          <w:b w:val="0"/>
          <w:bCs w:val="0"/>
          <w:color w:val="auto"/>
          <w:sz w:val="28"/>
          <w:szCs w:val="28"/>
        </w:rPr>
        <w:t>受</w:t>
      </w:r>
      <w:r>
        <w:rPr>
          <w:rFonts w:hint="eastAsia" w:ascii="仿宋" w:hAnsi="仿宋" w:eastAsia="仿宋" w:cs="仿宋"/>
          <w:b w:val="0"/>
          <w:bCs w:val="0"/>
          <w:color w:val="auto"/>
          <w:sz w:val="28"/>
          <w:szCs w:val="28"/>
          <w:lang w:eastAsia="zh-CN"/>
        </w:rPr>
        <w:t>赣州土地置业投资有限责任公司</w:t>
      </w:r>
      <w:r>
        <w:rPr>
          <w:rFonts w:hint="eastAsia" w:ascii="仿宋" w:hAnsi="仿宋" w:eastAsia="仿宋" w:cs="仿宋"/>
          <w:b w:val="0"/>
          <w:bCs w:val="0"/>
          <w:color w:val="auto"/>
          <w:sz w:val="28"/>
          <w:szCs w:val="28"/>
        </w:rPr>
        <w:t>（以下简称“委托人”）委托，即将在江西省公共资源电子交易服务平台产权交易子系统（网址：http://www.jxsggzy.cn/web/）通过网上竞价，公开拍卖委托人所持有的</w:t>
      </w:r>
      <w:r>
        <w:rPr>
          <w:rFonts w:hint="eastAsia" w:ascii="仿宋" w:hAnsi="仿宋" w:eastAsia="仿宋" w:cs="仿宋"/>
          <w:b w:val="0"/>
          <w:bCs w:val="0"/>
          <w:color w:val="auto"/>
          <w:sz w:val="28"/>
          <w:szCs w:val="28"/>
          <w:lang w:eastAsia="zh-CN"/>
        </w:rPr>
        <w:t>赣州土地置业投资有限责任公司下属</w:t>
      </w:r>
      <w:r>
        <w:rPr>
          <w:rFonts w:hint="eastAsia" w:ascii="仿宋" w:hAnsi="仿宋" w:eastAsia="仿宋" w:cs="仿宋"/>
          <w:b w:val="0"/>
          <w:bCs w:val="0"/>
          <w:color w:val="auto"/>
          <w:sz w:val="28"/>
          <w:szCs w:val="28"/>
          <w:lang w:val="en-US" w:eastAsia="zh-CN"/>
        </w:rPr>
        <w:t>三家</w:t>
      </w:r>
      <w:r>
        <w:rPr>
          <w:rFonts w:hint="eastAsia" w:ascii="仿宋" w:hAnsi="仿宋" w:eastAsia="仿宋" w:cs="仿宋"/>
          <w:b w:val="0"/>
          <w:bCs w:val="0"/>
          <w:color w:val="auto"/>
          <w:sz w:val="28"/>
          <w:szCs w:val="28"/>
          <w:lang w:eastAsia="zh-CN"/>
        </w:rPr>
        <w:t>子公司</w:t>
      </w:r>
      <w:r>
        <w:rPr>
          <w:rFonts w:hint="eastAsia" w:ascii="仿宋" w:hAnsi="仿宋" w:eastAsia="仿宋" w:cs="仿宋"/>
          <w:b w:val="0"/>
          <w:bCs w:val="0"/>
          <w:color w:val="auto"/>
          <w:sz w:val="28"/>
          <w:szCs w:val="28"/>
          <w:lang w:val="en-US" w:eastAsia="zh-CN"/>
        </w:rPr>
        <w:t>各80%</w:t>
      </w:r>
      <w:r>
        <w:rPr>
          <w:rFonts w:hint="eastAsia" w:ascii="仿宋" w:hAnsi="仿宋" w:eastAsia="仿宋" w:cs="仿宋"/>
          <w:b w:val="0"/>
          <w:bCs w:val="0"/>
          <w:color w:val="auto"/>
          <w:sz w:val="28"/>
          <w:szCs w:val="28"/>
          <w:lang w:eastAsia="zh-CN"/>
        </w:rPr>
        <w:t>股权，</w:t>
      </w:r>
      <w:r>
        <w:rPr>
          <w:rFonts w:hint="eastAsia" w:ascii="仿宋" w:hAnsi="仿宋" w:eastAsia="仿宋" w:cs="仿宋"/>
          <w:b w:val="0"/>
          <w:bCs w:val="0"/>
          <w:color w:val="auto"/>
          <w:sz w:val="28"/>
          <w:szCs w:val="28"/>
        </w:rPr>
        <w:t>现向社会公开征集意向竞买人，有关事项预告如下：</w:t>
      </w:r>
    </w:p>
    <w:p>
      <w:pPr>
        <w:keepNext w:val="0"/>
        <w:keepLines w:val="0"/>
        <w:pageBreakBefore w:val="0"/>
        <w:kinsoku/>
        <w:wordWrap/>
        <w:overflowPunct/>
        <w:topLinePunct w:val="0"/>
        <w:bidi w:val="0"/>
        <w:snapToGrid/>
        <w:spacing w:line="600" w:lineRule="exact"/>
        <w:ind w:firstLine="562" w:firstLine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一、项目编号：GZCQ2021010</w:t>
      </w:r>
    </w:p>
    <w:p>
      <w:pPr>
        <w:keepNext w:val="0"/>
        <w:keepLines w:val="0"/>
        <w:pageBreakBefore w:val="0"/>
        <w:widowControl w:val="0"/>
        <w:numPr>
          <w:ilvl w:val="0"/>
          <w:numId w:val="0"/>
        </w:numPr>
        <w:kinsoku/>
        <w:wordWrap/>
        <w:overflowPunct/>
        <w:topLinePunct w:val="0"/>
        <w:bidi w:val="0"/>
        <w:spacing w:line="360" w:lineRule="auto"/>
        <w:ind w:leftChars="200"/>
        <w:jc w:val="both"/>
        <w:textAlignment w:val="auto"/>
        <w:rPr>
          <w:rFonts w:hint="eastAsia" w:ascii="仿宋" w:hAnsi="仿宋" w:eastAsia="仿宋" w:cs="仿宋"/>
          <w:b w:val="0"/>
          <w:bCs w:val="0"/>
          <w:color w:val="auto"/>
          <w:sz w:val="28"/>
          <w:szCs w:val="28"/>
        </w:rPr>
      </w:pPr>
      <w:r>
        <w:rPr>
          <w:rFonts w:hint="eastAsia" w:ascii="仿宋_GB2312" w:hAnsi="仿宋_GB2312" w:eastAsia="仿宋_GB2312" w:cs="仿宋_GB2312"/>
          <w:b/>
          <w:color w:val="auto"/>
          <w:sz w:val="28"/>
          <w:szCs w:val="28"/>
        </w:rPr>
        <w:t>二、</w:t>
      </w:r>
      <w:r>
        <w:rPr>
          <w:rFonts w:hint="eastAsia" w:ascii="仿宋" w:hAnsi="仿宋" w:eastAsia="仿宋" w:cs="仿宋"/>
          <w:b w:val="0"/>
          <w:bCs w:val="0"/>
          <w:color w:val="auto"/>
          <w:sz w:val="28"/>
          <w:szCs w:val="28"/>
        </w:rPr>
        <w:t>拍卖标的基本情况</w:t>
      </w:r>
    </w:p>
    <w:p>
      <w:pPr>
        <w:keepNext w:val="0"/>
        <w:keepLines w:val="0"/>
        <w:pageBreakBefore w:val="0"/>
        <w:widowControl w:val="0"/>
        <w:numPr>
          <w:ilvl w:val="0"/>
          <w:numId w:val="0"/>
        </w:numPr>
        <w:kinsoku/>
        <w:wordWrap/>
        <w:overflowPunct/>
        <w:topLinePunct w:val="0"/>
        <w:bidi w:val="0"/>
        <w:spacing w:line="360" w:lineRule="auto"/>
        <w:ind w:leftChars="200"/>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（一）</w:t>
      </w:r>
      <w:r>
        <w:rPr>
          <w:rFonts w:hint="eastAsia" w:ascii="仿宋" w:hAnsi="仿宋" w:eastAsia="仿宋" w:cs="仿宋"/>
          <w:bCs/>
          <w:color w:val="auto"/>
          <w:spacing w:val="8"/>
          <w:sz w:val="28"/>
          <w:szCs w:val="28"/>
        </w:rPr>
        <w:t>赣州民德置业有限公司</w:t>
      </w:r>
      <w:r>
        <w:rPr>
          <w:rFonts w:hint="eastAsia" w:ascii="仿宋" w:hAnsi="仿宋" w:eastAsia="仿宋" w:cs="仿宋"/>
          <w:color w:val="auto"/>
          <w:sz w:val="28"/>
          <w:szCs w:val="28"/>
          <w:lang w:val="en-US" w:eastAsia="zh-CN"/>
        </w:rPr>
        <w:t>80</w:t>
      </w:r>
      <w:r>
        <w:rPr>
          <w:rFonts w:hint="eastAsia" w:ascii="仿宋" w:hAnsi="仿宋" w:eastAsia="仿宋" w:cs="仿宋"/>
          <w:color w:val="auto"/>
          <w:sz w:val="28"/>
          <w:szCs w:val="28"/>
        </w:rPr>
        <w:t>%股权</w:t>
      </w:r>
    </w:p>
    <w:p>
      <w:pPr>
        <w:keepNext w:val="0"/>
        <w:keepLines w:val="0"/>
        <w:pageBreakBefore w:val="0"/>
        <w:widowControl w:val="0"/>
        <w:kinsoku/>
        <w:wordWrap/>
        <w:overflowPunct/>
        <w:topLinePunct w:val="0"/>
        <w:bidi w:val="0"/>
        <w:snapToGrid w:val="0"/>
        <w:spacing w:line="360" w:lineRule="auto"/>
        <w:ind w:firstLine="592" w:firstLineChars="200"/>
        <w:jc w:val="both"/>
        <w:textAlignment w:val="auto"/>
        <w:rPr>
          <w:rFonts w:hint="eastAsia" w:ascii="仿宋" w:hAnsi="仿宋" w:eastAsia="仿宋" w:cs="仿宋"/>
          <w:color w:val="auto"/>
          <w:sz w:val="28"/>
          <w:szCs w:val="28"/>
          <w:lang w:val="en-US" w:eastAsia="zh-CN"/>
        </w:rPr>
      </w:pPr>
      <w:r>
        <w:rPr>
          <w:rFonts w:hint="eastAsia" w:ascii="仿宋" w:hAnsi="仿宋" w:eastAsia="仿宋" w:cs="仿宋"/>
          <w:bCs/>
          <w:color w:val="auto"/>
          <w:spacing w:val="8"/>
          <w:sz w:val="28"/>
          <w:szCs w:val="28"/>
        </w:rPr>
        <w:t>赣州民德置业有限公司成立于2018年12月18日，持有赣州市市场监督管理局核发的统一社会信用代码为91360700MA38AEBR33的营业执照，注册资本捌佰万元整。自2019年11月26日起至今赣州土地置业投资有限责任公司实际投资（实收资本）800万元，占股份比例100%。</w:t>
      </w:r>
    </w:p>
    <w:p>
      <w:pPr>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color w:val="auto"/>
          <w:sz w:val="28"/>
          <w:szCs w:val="28"/>
          <w:lang w:eastAsia="zh-CN"/>
        </w:rPr>
      </w:pPr>
      <w:r>
        <w:rPr>
          <w:rFonts w:hint="eastAsia" w:ascii="仿宋" w:hAnsi="仿宋" w:eastAsia="仿宋" w:cs="仿宋"/>
          <w:bCs/>
          <w:color w:val="auto"/>
          <w:sz w:val="28"/>
          <w:szCs w:val="28"/>
          <w:lang w:eastAsia="zh-CN"/>
        </w:rPr>
        <w:t>该公司资产类型主要包括：货币资金和存货，其中存货为</w:t>
      </w:r>
      <w:r>
        <w:rPr>
          <w:rFonts w:hint="eastAsia" w:ascii="仿宋" w:hAnsi="仿宋" w:eastAsia="仿宋" w:cs="仿宋"/>
          <w:bCs/>
          <w:color w:val="auto"/>
          <w:sz w:val="28"/>
          <w:szCs w:val="28"/>
        </w:rPr>
        <w:t>待开发的一宗土地使用权，宗地名称为沙河组团E6-1</w:t>
      </w:r>
      <w:r>
        <w:rPr>
          <w:rFonts w:hint="eastAsia" w:ascii="仿宋" w:hAnsi="仿宋" w:eastAsia="仿宋" w:cs="仿宋"/>
          <w:bCs/>
          <w:color w:val="auto"/>
          <w:sz w:val="28"/>
          <w:szCs w:val="28"/>
          <w:lang w:val="en-US" w:eastAsia="zh-CN"/>
        </w:rPr>
        <w:t>/</w:t>
      </w:r>
      <w:r>
        <w:rPr>
          <w:rFonts w:hint="eastAsia" w:ascii="仿宋" w:hAnsi="仿宋" w:eastAsia="仿宋" w:cs="仿宋"/>
          <w:bCs/>
          <w:color w:val="auto"/>
          <w:sz w:val="28"/>
          <w:szCs w:val="28"/>
        </w:rPr>
        <w:t>E6-6</w:t>
      </w:r>
      <w:r>
        <w:rPr>
          <w:rFonts w:hint="eastAsia" w:ascii="仿宋" w:hAnsi="仿宋" w:eastAsia="仿宋" w:cs="仿宋"/>
          <w:bCs/>
          <w:color w:val="auto"/>
          <w:sz w:val="28"/>
          <w:szCs w:val="28"/>
          <w:lang w:val="en-US" w:eastAsia="zh-CN"/>
        </w:rPr>
        <w:t>/</w:t>
      </w:r>
      <w:r>
        <w:rPr>
          <w:rFonts w:hint="eastAsia" w:ascii="仿宋" w:hAnsi="仿宋" w:eastAsia="仿宋" w:cs="仿宋"/>
          <w:bCs/>
          <w:color w:val="auto"/>
          <w:sz w:val="28"/>
          <w:szCs w:val="28"/>
        </w:rPr>
        <w:t>E6-5地块、宗地编号DBA2018058、土地权证编号为赣(2019)赣州市不动产权第0048585号、土地使用权面积54003.1㎡、土地用途为住宅用地（城镇住宅用地、教育用地、其他商服用地）、土地使用权性质为出让、规划容积率为1.52、土地使用权取得日期为2018年12月29日，土地使用权终止日期为城镇住宅用地2088年12月28日、教育用地2068年12月28日、其他商服用地2058年12月28日</w:t>
      </w:r>
      <w:r>
        <w:rPr>
          <w:rFonts w:hint="eastAsia" w:ascii="仿宋" w:hAnsi="仿宋" w:eastAsia="仿宋" w:cs="仿宋"/>
          <w:b w:val="0"/>
          <w:bCs/>
          <w:color w:val="auto"/>
          <w:sz w:val="28"/>
          <w:szCs w:val="28"/>
          <w:lang w:eastAsia="zh-CN"/>
        </w:rPr>
        <w:t>。</w:t>
      </w:r>
    </w:p>
    <w:p>
      <w:pPr>
        <w:keepNext w:val="0"/>
        <w:keepLines w:val="0"/>
        <w:pageBreakBefore w:val="0"/>
        <w:widowControl w:val="0"/>
        <w:numPr>
          <w:ilvl w:val="0"/>
          <w:numId w:val="0"/>
        </w:numPr>
        <w:kinsoku/>
        <w:wordWrap/>
        <w:overflowPunct/>
        <w:topLinePunct w:val="0"/>
        <w:bidi w:val="0"/>
        <w:spacing w:line="360" w:lineRule="auto"/>
        <w:ind w:leftChars="200"/>
        <w:jc w:val="both"/>
        <w:textAlignment w:val="auto"/>
        <w:rPr>
          <w:rFonts w:hint="eastAsia" w:ascii="仿宋" w:hAnsi="仿宋" w:eastAsia="仿宋" w:cs="仿宋"/>
          <w:bCs/>
          <w:color w:val="auto"/>
          <w:spacing w:val="8"/>
          <w:sz w:val="28"/>
          <w:szCs w:val="28"/>
          <w:lang w:eastAsia="zh-CN"/>
        </w:rPr>
      </w:pPr>
      <w:r>
        <w:rPr>
          <w:rFonts w:hint="eastAsia" w:ascii="仿宋" w:hAnsi="仿宋" w:eastAsia="仿宋" w:cs="仿宋"/>
          <w:bCs/>
          <w:color w:val="auto"/>
          <w:spacing w:val="8"/>
          <w:sz w:val="28"/>
          <w:szCs w:val="28"/>
          <w:lang w:eastAsia="zh-CN"/>
        </w:rPr>
        <w:t>（</w:t>
      </w:r>
      <w:r>
        <w:rPr>
          <w:rFonts w:hint="eastAsia" w:ascii="仿宋" w:hAnsi="仿宋" w:eastAsia="仿宋" w:cs="仿宋"/>
          <w:bCs/>
          <w:color w:val="auto"/>
          <w:spacing w:val="8"/>
          <w:sz w:val="28"/>
          <w:szCs w:val="28"/>
          <w:lang w:val="en-US" w:eastAsia="zh-CN"/>
        </w:rPr>
        <w:t>二</w:t>
      </w:r>
      <w:r>
        <w:rPr>
          <w:rFonts w:hint="eastAsia" w:ascii="仿宋" w:hAnsi="仿宋" w:eastAsia="仿宋" w:cs="仿宋"/>
          <w:bCs/>
          <w:color w:val="auto"/>
          <w:spacing w:val="8"/>
          <w:sz w:val="28"/>
          <w:szCs w:val="28"/>
          <w:lang w:eastAsia="zh-CN"/>
        </w:rPr>
        <w:t>）</w:t>
      </w:r>
      <w:r>
        <w:rPr>
          <w:rFonts w:hint="eastAsia" w:ascii="仿宋" w:hAnsi="仿宋" w:eastAsia="仿宋" w:cs="仿宋"/>
          <w:bCs/>
          <w:color w:val="auto"/>
          <w:spacing w:val="8"/>
          <w:sz w:val="28"/>
          <w:szCs w:val="28"/>
        </w:rPr>
        <w:t>赣州民发置业有限公司</w:t>
      </w:r>
      <w:r>
        <w:rPr>
          <w:rFonts w:hint="eastAsia" w:ascii="仿宋" w:hAnsi="仿宋" w:eastAsia="仿宋" w:cs="仿宋"/>
          <w:color w:val="auto"/>
          <w:sz w:val="28"/>
          <w:szCs w:val="28"/>
          <w:lang w:val="en-US" w:eastAsia="zh-CN"/>
        </w:rPr>
        <w:t>80</w:t>
      </w:r>
      <w:r>
        <w:rPr>
          <w:rFonts w:hint="eastAsia" w:ascii="仿宋" w:hAnsi="仿宋" w:eastAsia="仿宋" w:cs="仿宋"/>
          <w:color w:val="auto"/>
          <w:sz w:val="28"/>
          <w:szCs w:val="28"/>
        </w:rPr>
        <w:t>%股权</w:t>
      </w:r>
    </w:p>
    <w:p>
      <w:pPr>
        <w:pStyle w:val="2"/>
        <w:keepNext w:val="0"/>
        <w:keepLines w:val="0"/>
        <w:pageBreakBefore w:val="0"/>
        <w:widowControl w:val="0"/>
        <w:kinsoku/>
        <w:wordWrap/>
        <w:overflowPunct/>
        <w:topLinePunct w:val="0"/>
        <w:bidi w:val="0"/>
        <w:snapToGrid/>
        <w:spacing w:line="360" w:lineRule="auto"/>
        <w:ind w:firstLine="592" w:firstLineChars="200"/>
        <w:jc w:val="both"/>
        <w:textAlignment w:val="auto"/>
        <w:rPr>
          <w:rFonts w:hint="eastAsia" w:ascii="仿宋" w:hAnsi="仿宋" w:eastAsia="仿宋" w:cs="仿宋"/>
          <w:bCs/>
          <w:color w:val="auto"/>
          <w:spacing w:val="8"/>
          <w:sz w:val="28"/>
          <w:szCs w:val="28"/>
          <w:lang w:val="en-US" w:eastAsia="zh-CN"/>
        </w:rPr>
      </w:pPr>
      <w:r>
        <w:rPr>
          <w:rFonts w:hint="eastAsia" w:ascii="仿宋" w:hAnsi="仿宋" w:eastAsia="仿宋" w:cs="仿宋"/>
          <w:bCs/>
          <w:color w:val="auto"/>
          <w:spacing w:val="8"/>
          <w:sz w:val="28"/>
          <w:szCs w:val="28"/>
        </w:rPr>
        <w:t>赣州民发置业有限公司成立于2018年12月18日，统一社会信用代码为91360700MA38AFD834的营业执照，注册资本捌佰万元整。自2019年11月26日起至今赣州土地置业投资有限责任公司实际投资（实收资本）800万元，占股份比例100%。</w:t>
      </w:r>
      <w:r>
        <w:rPr>
          <w:rFonts w:hint="eastAsia" w:ascii="仿宋" w:hAnsi="仿宋" w:eastAsia="仿宋" w:cs="仿宋"/>
          <w:bCs/>
          <w:color w:val="auto"/>
          <w:spacing w:val="8"/>
          <w:sz w:val="28"/>
          <w:szCs w:val="28"/>
          <w:lang w:val="en-US" w:eastAsia="zh-CN"/>
        </w:rPr>
        <w:t xml:space="preserve">  </w:t>
      </w:r>
    </w:p>
    <w:p>
      <w:pPr>
        <w:keepNext w:val="0"/>
        <w:keepLines w:val="0"/>
        <w:pageBreakBefore w:val="0"/>
        <w:widowControl w:val="0"/>
        <w:kinsoku/>
        <w:wordWrap/>
        <w:overflowPunct/>
        <w:topLinePunct w:val="0"/>
        <w:bidi w:val="0"/>
        <w:snapToGrid w:val="0"/>
        <w:spacing w:line="360" w:lineRule="auto"/>
        <w:ind w:firstLine="560" w:firstLineChars="200"/>
        <w:jc w:val="both"/>
        <w:textAlignment w:val="auto"/>
        <w:rPr>
          <w:rFonts w:hint="eastAsia" w:ascii="仿宋" w:hAnsi="仿宋" w:eastAsia="仿宋" w:cs="仿宋"/>
          <w:bCs/>
          <w:color w:val="auto"/>
          <w:sz w:val="28"/>
          <w:szCs w:val="28"/>
          <w:lang w:eastAsia="zh-CN"/>
        </w:rPr>
      </w:pPr>
      <w:r>
        <w:rPr>
          <w:rFonts w:hint="eastAsia" w:ascii="仿宋" w:hAnsi="仿宋" w:eastAsia="仿宋" w:cs="仿宋"/>
          <w:bCs/>
          <w:color w:val="auto"/>
          <w:sz w:val="28"/>
          <w:szCs w:val="28"/>
          <w:lang w:eastAsia="zh-CN"/>
        </w:rPr>
        <w:t>该公司资产类型主要包括：货币资金和存货，其中存货为</w:t>
      </w:r>
      <w:r>
        <w:rPr>
          <w:rFonts w:hint="eastAsia" w:ascii="仿宋" w:hAnsi="仿宋" w:eastAsia="仿宋" w:cs="仿宋"/>
          <w:bCs/>
          <w:color w:val="auto"/>
          <w:sz w:val="28"/>
          <w:szCs w:val="28"/>
        </w:rPr>
        <w:t>待开发的一宗土地使用权，宗地名称为沙河组团E4-1地块、宗地编号DBA2018062、土地权证编号为赣(2019)赣州市不动产权第0048583号、土地使用权面积60507.1㎡、土地用途为住宅用地（城镇住宅、零售商业用地）、土地使用权性质为出让、规划容积率为1.8、土地使用权取得日期为2018年12月29日，土地使用权终止日期为城镇住宅用地2088年12月28日、零售商业用地2058年12月28日</w:t>
      </w:r>
      <w:r>
        <w:rPr>
          <w:rFonts w:hint="eastAsia" w:ascii="仿宋" w:hAnsi="仿宋" w:eastAsia="仿宋" w:cs="仿宋"/>
          <w:bCs/>
          <w:color w:val="auto"/>
          <w:sz w:val="28"/>
          <w:szCs w:val="28"/>
          <w:lang w:eastAsia="zh-CN"/>
        </w:rPr>
        <w:t>。</w:t>
      </w:r>
    </w:p>
    <w:p>
      <w:pPr>
        <w:keepNext w:val="0"/>
        <w:keepLines w:val="0"/>
        <w:pageBreakBefore w:val="0"/>
        <w:widowControl w:val="0"/>
        <w:numPr>
          <w:ilvl w:val="0"/>
          <w:numId w:val="0"/>
        </w:numPr>
        <w:kinsoku/>
        <w:wordWrap/>
        <w:overflowPunct/>
        <w:topLinePunct w:val="0"/>
        <w:bidi w:val="0"/>
        <w:spacing w:line="360" w:lineRule="auto"/>
        <w:ind w:leftChars="200"/>
        <w:jc w:val="both"/>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（三）</w:t>
      </w:r>
      <w:r>
        <w:rPr>
          <w:rFonts w:hint="eastAsia" w:ascii="仿宋" w:hAnsi="仿宋" w:eastAsia="仿宋" w:cs="仿宋"/>
          <w:bCs/>
          <w:color w:val="auto"/>
          <w:spacing w:val="8"/>
          <w:sz w:val="28"/>
          <w:szCs w:val="28"/>
        </w:rPr>
        <w:t>赣州民欢置业有限公司</w:t>
      </w:r>
      <w:r>
        <w:rPr>
          <w:rFonts w:hint="eastAsia" w:ascii="仿宋" w:hAnsi="仿宋" w:eastAsia="仿宋" w:cs="仿宋"/>
          <w:color w:val="auto"/>
          <w:sz w:val="28"/>
          <w:szCs w:val="28"/>
          <w:lang w:val="en-US" w:eastAsia="zh-CN"/>
        </w:rPr>
        <w:t>80</w:t>
      </w:r>
      <w:r>
        <w:rPr>
          <w:rFonts w:hint="eastAsia" w:ascii="仿宋" w:hAnsi="仿宋" w:eastAsia="仿宋" w:cs="仿宋"/>
          <w:color w:val="auto"/>
          <w:sz w:val="28"/>
          <w:szCs w:val="28"/>
        </w:rPr>
        <w:t>%股权</w:t>
      </w:r>
    </w:p>
    <w:p>
      <w:pPr>
        <w:pStyle w:val="2"/>
        <w:keepNext w:val="0"/>
        <w:keepLines w:val="0"/>
        <w:pageBreakBefore w:val="0"/>
        <w:widowControl w:val="0"/>
        <w:kinsoku/>
        <w:wordWrap/>
        <w:overflowPunct/>
        <w:topLinePunct w:val="0"/>
        <w:bidi w:val="0"/>
        <w:snapToGrid/>
        <w:spacing w:line="360" w:lineRule="auto"/>
        <w:ind w:firstLine="592" w:firstLineChars="200"/>
        <w:jc w:val="both"/>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pacing w:val="8"/>
          <w:sz w:val="28"/>
          <w:szCs w:val="28"/>
        </w:rPr>
        <w:t>赣州民欢置业有限公司成立于2018年12月18日，统一社会信用代码为91360700MA38AFDM81，注册资本捌佰万元整。自2019年11月26日起至今赣州土地置业投资有限责任公司实际投资（实收资本）800万元，占股份比例100%。</w:t>
      </w:r>
    </w:p>
    <w:p>
      <w:pPr>
        <w:pStyle w:val="2"/>
        <w:keepNext w:val="0"/>
        <w:keepLines w:val="0"/>
        <w:pageBreakBefore w:val="0"/>
        <w:widowControl w:val="0"/>
        <w:kinsoku/>
        <w:wordWrap/>
        <w:overflowPunct/>
        <w:topLinePunct w:val="0"/>
        <w:bidi w:val="0"/>
        <w:snapToGrid/>
        <w:spacing w:line="360" w:lineRule="auto"/>
        <w:ind w:firstLine="560" w:firstLineChars="200"/>
        <w:jc w:val="both"/>
        <w:textAlignment w:val="auto"/>
        <w:rPr>
          <w:rFonts w:hint="eastAsia" w:ascii="仿宋" w:hAnsi="仿宋" w:eastAsia="仿宋" w:cs="仿宋"/>
          <w:b w:val="0"/>
          <w:bCs/>
          <w:color w:val="auto"/>
          <w:sz w:val="28"/>
          <w:szCs w:val="28"/>
          <w:lang w:eastAsia="zh-CN"/>
        </w:rPr>
      </w:pPr>
      <w:r>
        <w:rPr>
          <w:rFonts w:hint="eastAsia" w:ascii="仿宋" w:hAnsi="仿宋" w:eastAsia="仿宋" w:cs="仿宋"/>
          <w:bCs/>
          <w:color w:val="auto"/>
          <w:sz w:val="28"/>
          <w:szCs w:val="28"/>
          <w:lang w:eastAsia="zh-CN"/>
        </w:rPr>
        <w:t>该公司资产类型主要包括：货币资金和存货，其中存货为</w:t>
      </w:r>
      <w:r>
        <w:rPr>
          <w:rFonts w:hint="eastAsia" w:ascii="仿宋" w:hAnsi="仿宋" w:eastAsia="仿宋" w:cs="仿宋"/>
          <w:bCs/>
          <w:color w:val="auto"/>
          <w:sz w:val="28"/>
          <w:szCs w:val="28"/>
        </w:rPr>
        <w:t>待开发的一宗土地使用权，宗地名称为沙河组团E3-9地块、宗地编号DBA20180657、土地权证编号为赣(2019)赣州市不动产权第0048584号、土地使用权面积33950.1㎡、土地用途为住宅用地（城镇住宅、零售商业用地）、土地使用权性质为出让、规划容积率为1.8、土地使用权取得日期为2018年12月29日，土地使用权终止日期为城镇住宅用地2088年12月28日、零售商业用地2058年12月28日</w:t>
      </w:r>
      <w:r>
        <w:rPr>
          <w:rFonts w:hint="eastAsia" w:ascii="仿宋" w:hAnsi="仿宋" w:eastAsia="仿宋" w:cs="仿宋"/>
          <w:bCs/>
          <w:color w:val="auto"/>
          <w:sz w:val="28"/>
          <w:szCs w:val="28"/>
          <w:lang w:eastAsia="zh-CN"/>
        </w:rPr>
        <w:t>。</w:t>
      </w:r>
    </w:p>
    <w:p>
      <w:pPr>
        <w:keepNext w:val="0"/>
        <w:keepLines w:val="0"/>
        <w:pageBreakBefore w:val="0"/>
        <w:widowControl/>
        <w:shd w:val="clear" w:color="auto" w:fill="FFFFFF"/>
        <w:kinsoku/>
        <w:wordWrap/>
        <w:overflowPunct/>
        <w:topLinePunct w:val="0"/>
        <w:bidi w:val="0"/>
        <w:spacing w:line="360" w:lineRule="auto"/>
        <w:ind w:firstLine="562" w:firstLineChars="200"/>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特别提示：</w:t>
      </w:r>
      <w:r>
        <w:rPr>
          <w:rFonts w:hint="eastAsia" w:ascii="仿宋" w:hAnsi="仿宋" w:eastAsia="仿宋" w:cs="仿宋"/>
          <w:b/>
          <w:bCs/>
          <w:color w:val="auto"/>
          <w:sz w:val="28"/>
          <w:szCs w:val="28"/>
        </w:rPr>
        <w:t>1、以上公司的资产、股权不存在任何限制转让的情况，不涉及诉讼、仲裁事项或查封、冻结等司法措施，不存在妨碍权属转移的其他情况，本次股权转让行为也依法报有关（主管）部门审核。</w:t>
      </w:r>
    </w:p>
    <w:p>
      <w:pPr>
        <w:keepNext w:val="0"/>
        <w:keepLines w:val="0"/>
        <w:pageBreakBefore w:val="0"/>
        <w:kinsoku/>
        <w:wordWrap/>
        <w:overflowPunct/>
        <w:topLinePunct w:val="0"/>
        <w:bidi w:val="0"/>
        <w:spacing w:line="360" w:lineRule="auto"/>
        <w:ind w:firstLine="562" w:firstLineChars="200"/>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rPr>
        <w:t>2、本次股权转让发生时，委托人所持的股权相对应的权利、义务包括但不限于债权债务等一并转移至受让方。标的公司股东情况、资产审计、评估报告及财务报表等资料详情可向委托人、拍卖人进行现场咨询。</w:t>
      </w:r>
    </w:p>
    <w:p>
      <w:pPr>
        <w:keepNext w:val="0"/>
        <w:keepLines w:val="0"/>
        <w:pageBreakBefore w:val="0"/>
        <w:widowControl w:val="0"/>
        <w:kinsoku/>
        <w:wordWrap/>
        <w:overflowPunct/>
        <w:topLinePunct w:val="0"/>
        <w:bidi w:val="0"/>
        <w:snapToGrid/>
        <w:spacing w:line="360" w:lineRule="auto"/>
        <w:ind w:firstLine="562" w:firstLineChars="200"/>
        <w:jc w:val="both"/>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3、</w:t>
      </w:r>
      <w:r>
        <w:rPr>
          <w:rFonts w:hint="eastAsia" w:ascii="仿宋" w:hAnsi="仿宋" w:eastAsia="仿宋" w:cs="仿宋"/>
          <w:b/>
          <w:bCs/>
          <w:color w:val="auto"/>
          <w:sz w:val="28"/>
          <w:szCs w:val="28"/>
          <w:lang w:eastAsia="zh-CN"/>
        </w:rPr>
        <w:t>上述三家</w:t>
      </w:r>
      <w:r>
        <w:rPr>
          <w:rFonts w:hint="eastAsia" w:ascii="仿宋" w:hAnsi="仿宋" w:eastAsia="仿宋" w:cs="仿宋"/>
          <w:b/>
          <w:bCs/>
          <w:color w:val="auto"/>
          <w:sz w:val="28"/>
          <w:szCs w:val="28"/>
        </w:rPr>
        <w:t>公司股</w:t>
      </w:r>
      <w:r>
        <w:rPr>
          <w:rFonts w:hint="eastAsia" w:ascii="仿宋" w:hAnsi="仿宋" w:eastAsia="仿宋" w:cs="仿宋"/>
          <w:b/>
          <w:bCs/>
          <w:color w:val="auto"/>
          <w:sz w:val="28"/>
          <w:szCs w:val="28"/>
          <w:lang w:eastAsia="zh-CN"/>
        </w:rPr>
        <w:t>权、资产及经营</w:t>
      </w:r>
      <w:r>
        <w:rPr>
          <w:rFonts w:hint="eastAsia" w:ascii="仿宋" w:hAnsi="仿宋" w:eastAsia="仿宋" w:cs="仿宋"/>
          <w:b/>
          <w:bCs/>
          <w:color w:val="auto"/>
          <w:sz w:val="28"/>
          <w:szCs w:val="28"/>
        </w:rPr>
        <w:t>情况</w:t>
      </w:r>
      <w:r>
        <w:rPr>
          <w:rFonts w:hint="eastAsia" w:ascii="仿宋" w:hAnsi="仿宋" w:eastAsia="仿宋" w:cs="仿宋"/>
          <w:b/>
          <w:bCs/>
          <w:color w:val="auto"/>
          <w:sz w:val="28"/>
          <w:szCs w:val="28"/>
          <w:lang w:eastAsia="zh-CN"/>
        </w:rPr>
        <w:t>均以</w:t>
      </w:r>
      <w:r>
        <w:rPr>
          <w:rFonts w:hint="eastAsia" w:ascii="仿宋" w:hAnsi="仿宋" w:eastAsia="仿宋" w:cs="仿宋"/>
          <w:b/>
          <w:bCs/>
          <w:color w:val="auto"/>
          <w:sz w:val="28"/>
          <w:szCs w:val="28"/>
        </w:rPr>
        <w:t>审计</w:t>
      </w:r>
      <w:r>
        <w:rPr>
          <w:rFonts w:hint="eastAsia" w:ascii="仿宋" w:hAnsi="仿宋" w:eastAsia="仿宋" w:cs="仿宋"/>
          <w:b/>
          <w:bCs/>
          <w:color w:val="auto"/>
          <w:sz w:val="28"/>
          <w:szCs w:val="28"/>
          <w:lang w:eastAsia="zh-CN"/>
        </w:rPr>
        <w:t>报告</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资产</w:t>
      </w:r>
      <w:r>
        <w:rPr>
          <w:rFonts w:hint="eastAsia" w:ascii="仿宋" w:hAnsi="仿宋" w:eastAsia="仿宋" w:cs="仿宋"/>
          <w:b/>
          <w:bCs/>
          <w:color w:val="auto"/>
          <w:sz w:val="28"/>
          <w:szCs w:val="28"/>
        </w:rPr>
        <w:t>评估报告及财务报表等</w:t>
      </w:r>
      <w:r>
        <w:rPr>
          <w:rFonts w:hint="eastAsia" w:ascii="仿宋" w:hAnsi="仿宋" w:eastAsia="仿宋" w:cs="仿宋"/>
          <w:b/>
          <w:bCs/>
          <w:color w:val="auto"/>
          <w:sz w:val="28"/>
          <w:szCs w:val="28"/>
          <w:lang w:eastAsia="zh-CN"/>
        </w:rPr>
        <w:t>真实合法文件</w:t>
      </w:r>
      <w:r>
        <w:rPr>
          <w:rFonts w:hint="eastAsia" w:ascii="仿宋" w:hAnsi="仿宋" w:eastAsia="仿宋" w:cs="仿宋"/>
          <w:b/>
          <w:bCs/>
          <w:color w:val="auto"/>
          <w:sz w:val="28"/>
          <w:szCs w:val="28"/>
        </w:rPr>
        <w:t>资料</w:t>
      </w:r>
      <w:r>
        <w:rPr>
          <w:rFonts w:hint="eastAsia" w:ascii="仿宋" w:hAnsi="仿宋" w:eastAsia="仿宋" w:cs="仿宋"/>
          <w:b/>
          <w:bCs/>
          <w:color w:val="auto"/>
          <w:sz w:val="28"/>
          <w:szCs w:val="28"/>
          <w:lang w:eastAsia="zh-CN"/>
        </w:rPr>
        <w:t>为准，意向竞买人可向</w:t>
      </w:r>
      <w:r>
        <w:rPr>
          <w:rFonts w:hint="eastAsia" w:ascii="仿宋" w:hAnsi="仿宋" w:eastAsia="仿宋" w:cs="仿宋"/>
          <w:b/>
          <w:bCs/>
          <w:color w:val="auto"/>
          <w:sz w:val="28"/>
          <w:szCs w:val="28"/>
        </w:rPr>
        <w:t>委托人咨询</w:t>
      </w:r>
      <w:r>
        <w:rPr>
          <w:rFonts w:hint="eastAsia" w:ascii="仿宋" w:hAnsi="仿宋" w:eastAsia="仿宋" w:cs="仿宋"/>
          <w:b/>
          <w:bCs/>
          <w:color w:val="auto"/>
          <w:sz w:val="28"/>
          <w:szCs w:val="28"/>
          <w:lang w:eastAsia="zh-CN"/>
        </w:rPr>
        <w:t>和查阅相关资料，也可自行向相关职能部门查询</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本次股权拍卖所涉及的土地使用权、</w:t>
      </w:r>
      <w:r>
        <w:rPr>
          <w:rFonts w:hint="eastAsia" w:ascii="仿宋" w:hAnsi="仿宋" w:eastAsia="仿宋" w:cs="仿宋"/>
          <w:b/>
          <w:bCs/>
          <w:color w:val="auto"/>
          <w:sz w:val="28"/>
          <w:szCs w:val="28"/>
        </w:rPr>
        <w:t>规划设计</w:t>
      </w:r>
      <w:r>
        <w:rPr>
          <w:rFonts w:hint="eastAsia" w:ascii="仿宋" w:hAnsi="仿宋" w:eastAsia="仿宋" w:cs="仿宋"/>
          <w:b/>
          <w:bCs/>
          <w:color w:val="auto"/>
          <w:sz w:val="28"/>
          <w:szCs w:val="28"/>
          <w:lang w:eastAsia="zh-CN"/>
        </w:rPr>
        <w:t>条件</w:t>
      </w:r>
      <w:r>
        <w:rPr>
          <w:rFonts w:hint="eastAsia" w:ascii="仿宋" w:hAnsi="仿宋" w:eastAsia="仿宋" w:cs="仿宋"/>
          <w:b/>
          <w:bCs/>
          <w:color w:val="auto"/>
          <w:sz w:val="28"/>
          <w:szCs w:val="28"/>
        </w:rPr>
        <w:t>、建设施工等</w:t>
      </w:r>
      <w:r>
        <w:rPr>
          <w:rFonts w:hint="eastAsia" w:ascii="仿宋" w:hAnsi="仿宋" w:eastAsia="仿宋" w:cs="仿宋"/>
          <w:b/>
          <w:bCs/>
          <w:color w:val="auto"/>
          <w:sz w:val="28"/>
          <w:szCs w:val="28"/>
          <w:lang w:eastAsia="zh-CN"/>
        </w:rPr>
        <w:t>信息均</w:t>
      </w:r>
      <w:r>
        <w:rPr>
          <w:rFonts w:hint="eastAsia" w:ascii="仿宋" w:hAnsi="仿宋" w:eastAsia="仿宋" w:cs="仿宋"/>
          <w:b/>
          <w:bCs/>
          <w:color w:val="auto"/>
          <w:sz w:val="28"/>
          <w:szCs w:val="28"/>
        </w:rPr>
        <w:t>以</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不动产登记证</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rPr>
        <w:t>规划设计通知书</w:t>
      </w:r>
      <w:r>
        <w:rPr>
          <w:rFonts w:hint="eastAsia" w:ascii="仿宋" w:hAnsi="仿宋" w:eastAsia="仿宋" w:cs="仿宋"/>
          <w:b/>
          <w:bCs/>
          <w:color w:val="auto"/>
          <w:sz w:val="28"/>
          <w:szCs w:val="28"/>
          <w:lang w:eastAsia="zh-CN"/>
        </w:rPr>
        <w:t>》和政府行政审批登记信息</w:t>
      </w:r>
      <w:r>
        <w:rPr>
          <w:rFonts w:hint="eastAsia" w:ascii="仿宋" w:hAnsi="仿宋" w:eastAsia="仿宋" w:cs="仿宋"/>
          <w:b/>
          <w:bCs/>
          <w:color w:val="auto"/>
          <w:sz w:val="28"/>
          <w:szCs w:val="28"/>
        </w:rPr>
        <w:t>为准</w: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敬请各位竞买人竞拍前认真咨询相关部门并仔细查阅各子公司名下</w:t>
      </w:r>
      <w:r>
        <w:rPr>
          <w:rFonts w:hint="eastAsia" w:ascii="仿宋" w:hAnsi="仿宋" w:eastAsia="仿宋" w:cs="仿宋"/>
          <w:b/>
          <w:bCs/>
          <w:color w:val="auto"/>
          <w:sz w:val="28"/>
          <w:szCs w:val="28"/>
          <w:shd w:val="clear" w:color="auto" w:fill="FFFFFF"/>
        </w:rPr>
        <w:t>三宗</w:t>
      </w:r>
      <w:r>
        <w:rPr>
          <w:rFonts w:hint="eastAsia" w:ascii="仿宋" w:hAnsi="仿宋" w:eastAsia="仿宋" w:cs="仿宋"/>
          <w:b/>
          <w:bCs/>
          <w:color w:val="auto"/>
          <w:sz w:val="28"/>
          <w:szCs w:val="28"/>
          <w:shd w:val="clear" w:color="auto" w:fill="FFFFFF"/>
          <w:lang w:val="en-US" w:eastAsia="zh-CN"/>
        </w:rPr>
        <w:t>地块规划用途、建设时间等具体信息</w:t>
      </w:r>
      <w:r>
        <w:rPr>
          <w:rFonts w:hint="eastAsia" w:ascii="仿宋" w:hAnsi="仿宋" w:eastAsia="仿宋" w:cs="仿宋"/>
          <w:b/>
          <w:bCs/>
          <w:color w:val="auto"/>
          <w:sz w:val="28"/>
          <w:szCs w:val="28"/>
        </w:rPr>
        <w:t>。</w:t>
      </w:r>
    </w:p>
    <w:p>
      <w:pPr>
        <w:keepNext w:val="0"/>
        <w:keepLines w:val="0"/>
        <w:pageBreakBefore w:val="0"/>
        <w:numPr>
          <w:ilvl w:val="0"/>
          <w:numId w:val="0"/>
        </w:numPr>
        <w:kinsoku/>
        <w:wordWrap/>
        <w:overflowPunct/>
        <w:topLinePunct w:val="0"/>
        <w:bidi w:val="0"/>
        <w:snapToGrid/>
        <w:spacing w:line="600" w:lineRule="exact"/>
        <w:ind w:firstLine="562" w:firstLineChars="200"/>
        <w:rPr>
          <w:rFonts w:hint="default" w:ascii="仿宋_GB2312" w:hAnsi="仿宋_GB2312" w:eastAsia="仿宋_GB2312" w:cs="仿宋_GB2312"/>
          <w:b/>
          <w:bCs/>
          <w:color w:val="auto"/>
          <w:kern w:val="0"/>
          <w:sz w:val="28"/>
          <w:szCs w:val="28"/>
          <w:lang w:val="en-US" w:eastAsia="zh-CN"/>
        </w:rPr>
      </w:pPr>
      <w:r>
        <w:rPr>
          <w:rFonts w:hint="eastAsia" w:ascii="仿宋_GB2312" w:hAnsi="仿宋_GB2312" w:eastAsia="仿宋_GB2312" w:cs="仿宋_GB2312"/>
          <w:b/>
          <w:color w:val="auto"/>
          <w:sz w:val="28"/>
          <w:szCs w:val="28"/>
        </w:rPr>
        <w:t>三、</w:t>
      </w:r>
      <w:r>
        <w:rPr>
          <w:rFonts w:hint="eastAsia" w:ascii="仿宋_GB2312" w:hAnsi="仿宋_GB2312" w:eastAsia="仿宋_GB2312" w:cs="仿宋_GB2312"/>
          <w:b/>
          <w:bCs/>
          <w:color w:val="auto"/>
          <w:kern w:val="0"/>
          <w:sz w:val="28"/>
          <w:szCs w:val="28"/>
          <w:lang w:val="en-US" w:eastAsia="zh-CN"/>
        </w:rPr>
        <w:t>其他需要说明事项</w:t>
      </w:r>
    </w:p>
    <w:p>
      <w:pPr>
        <w:keepNext w:val="0"/>
        <w:keepLines w:val="0"/>
        <w:pageBreakBefore w:val="0"/>
        <w:kinsoku/>
        <w:wordWrap/>
        <w:overflowPunct/>
        <w:topLinePunct w:val="0"/>
        <w:bidi w:val="0"/>
        <w:spacing w:line="360" w:lineRule="auto"/>
        <w:ind w:firstLine="560" w:firstLineChars="200"/>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1、本次拍卖所涉及标的的有关概况和标的的有关资料仅供参考，竞买人应自行审验标的，充分了解标的现状。委托人和拍卖人不承担瑕疵担保责任。竞买人一经应价、报价，即表明竞买人完全接受标的现状，竞买成交后买受人不得以任何理由拒绝履行相关款项的缴纳、文件的签署以及承担的义务。</w:t>
      </w:r>
    </w:p>
    <w:p>
      <w:pPr>
        <w:keepNext w:val="0"/>
        <w:keepLines w:val="0"/>
        <w:pageBreakBefore w:val="0"/>
        <w:kinsoku/>
        <w:wordWrap/>
        <w:overflowPunct/>
        <w:topLinePunct w:val="0"/>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2、此次转让的股权不存在抵押、质押，不涉及诉讼、仲裁事项或查封、冻结等司法措施，不存在妨碍权属转移的其他情况。该转让行为已经过必要的内部决策程序和批准程序。</w:t>
      </w:r>
    </w:p>
    <w:p>
      <w:pPr>
        <w:keepNext w:val="0"/>
        <w:keepLines w:val="0"/>
        <w:pageBreakBefore w:val="0"/>
        <w:kinsoku/>
        <w:wordWrap/>
        <w:overflowPunct/>
        <w:topLinePunct w:val="0"/>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3、</w:t>
      </w:r>
      <w:r>
        <w:rPr>
          <w:rFonts w:hint="eastAsia" w:ascii="仿宋" w:hAnsi="仿宋" w:eastAsia="仿宋" w:cs="仿宋"/>
          <w:b w:val="0"/>
          <w:bCs w:val="0"/>
          <w:color w:val="auto"/>
          <w:sz w:val="28"/>
          <w:szCs w:val="28"/>
          <w:lang w:val="en-US" w:eastAsia="zh-CN"/>
        </w:rPr>
        <w:t>如果受让方按总资产评估价值价款接受公司权益，则受让方无需承担公司的负债义务；如果受让方按净资产评估价值价款接受公司权益，则受让方还需承担公司的负债义务。</w:t>
      </w:r>
    </w:p>
    <w:p>
      <w:pPr>
        <w:keepNext w:val="0"/>
        <w:keepLines w:val="0"/>
        <w:pageBreakBefore w:val="0"/>
        <w:kinsoku/>
        <w:wordWrap/>
        <w:overflowPunct/>
        <w:topLinePunct w:val="0"/>
        <w:bidi w:val="0"/>
        <w:spacing w:line="360" w:lineRule="auto"/>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4、</w:t>
      </w:r>
      <w:r>
        <w:rPr>
          <w:rFonts w:hint="eastAsia" w:ascii="仿宋" w:hAnsi="仿宋" w:eastAsia="仿宋" w:cs="仿宋"/>
          <w:color w:val="auto"/>
          <w:sz w:val="28"/>
          <w:szCs w:val="28"/>
        </w:rPr>
        <w:t>竞买人应充分阅读本拍卖资料及资料中的相关附件，详尽阅读并了解《国有股权转让合同》（范本）有关内容，竞买人报名参与本次竞买即视为对本次拍卖资料中载明的相关要求及条款予以了认可并接受。本资料附件中的《国有股权转让合同》为范本，有关股权转让细节以按约定正式签署的《国有股权转让合同》为准。</w:t>
      </w:r>
    </w:p>
    <w:p>
      <w:pPr>
        <w:spacing w:line="600" w:lineRule="exact"/>
        <w:ind w:firstLine="560" w:firstLineChars="200"/>
        <w:rPr>
          <w:rFonts w:hint="eastAsia" w:ascii="仿宋_GB2312" w:hAnsi="仿宋_GB2312" w:eastAsia="仿宋_GB2312" w:cs="仿宋_GB2312"/>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_GB2312" w:hAnsi="仿宋_GB2312" w:eastAsia="仿宋_GB2312" w:cs="仿宋_GB2312"/>
          <w:color w:val="auto"/>
          <w:sz w:val="28"/>
          <w:szCs w:val="28"/>
        </w:rPr>
        <w:t>本次股权转让在变更过程中产生的所有税、费按相关规定，由委托人、买受人双方各自承担，买受人按规定</w:t>
      </w:r>
      <w:r>
        <w:rPr>
          <w:rFonts w:hint="eastAsia" w:ascii="仿宋_GB2312" w:hAnsi="仿宋_GB2312" w:eastAsia="仿宋_GB2312" w:cs="仿宋_GB2312"/>
          <w:color w:val="auto"/>
          <w:sz w:val="28"/>
          <w:szCs w:val="28"/>
          <w:lang w:val="en-US" w:eastAsia="zh-CN"/>
        </w:rPr>
        <w:t>缴纳</w:t>
      </w:r>
      <w:r>
        <w:rPr>
          <w:rFonts w:hint="eastAsia" w:ascii="仿宋_GB2312" w:hAnsi="仿宋_GB2312" w:eastAsia="仿宋_GB2312" w:cs="仿宋_GB2312"/>
          <w:color w:val="auto"/>
          <w:sz w:val="28"/>
          <w:szCs w:val="28"/>
        </w:rPr>
        <w:t>股权转让价款后办理股权变更登记手续。其它相关转让事宜以正式签订的《国有股权转让</w:t>
      </w:r>
      <w:r>
        <w:rPr>
          <w:rFonts w:hint="eastAsia" w:ascii="仿宋" w:hAnsi="仿宋" w:eastAsia="仿宋" w:cs="仿宋"/>
          <w:color w:val="auto"/>
          <w:sz w:val="28"/>
          <w:szCs w:val="28"/>
        </w:rPr>
        <w:t>合同</w:t>
      </w:r>
      <w:r>
        <w:rPr>
          <w:rFonts w:hint="eastAsia" w:ascii="仿宋_GB2312" w:hAnsi="仿宋_GB2312" w:eastAsia="仿宋_GB2312" w:cs="仿宋_GB2312"/>
          <w:color w:val="auto"/>
          <w:sz w:val="28"/>
          <w:szCs w:val="28"/>
        </w:rPr>
        <w:t>》为准。</w:t>
      </w:r>
    </w:p>
    <w:p>
      <w:pPr>
        <w:spacing w:line="600" w:lineRule="exact"/>
        <w:ind w:firstLine="560" w:firstLineChars="200"/>
        <w:rPr>
          <w:rFonts w:hint="eastAsia" w:ascii="仿宋" w:hAnsi="仿宋" w:eastAsia="仿宋" w:cs="仿宋"/>
          <w:color w:val="auto"/>
          <w:sz w:val="28"/>
          <w:szCs w:val="28"/>
        </w:rPr>
      </w:pP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、竞买人应充分阅读本拍卖资料及资料中的相关附件，详尽阅读并了解《国有股权转让</w:t>
      </w:r>
      <w:r>
        <w:rPr>
          <w:rFonts w:hint="eastAsia" w:ascii="仿宋" w:hAnsi="仿宋" w:eastAsia="仿宋" w:cs="仿宋"/>
          <w:color w:val="auto"/>
          <w:sz w:val="28"/>
          <w:szCs w:val="28"/>
        </w:rPr>
        <w:t>合同</w:t>
      </w:r>
      <w:r>
        <w:rPr>
          <w:rFonts w:hint="eastAsia" w:ascii="仿宋_GB2312" w:hAnsi="仿宋_GB2312" w:eastAsia="仿宋_GB2312" w:cs="仿宋_GB2312"/>
          <w:color w:val="auto"/>
          <w:sz w:val="28"/>
          <w:szCs w:val="28"/>
        </w:rPr>
        <w:t>》（范本）有关内容，竞买人报名参与本次竞买即视为对本次拍卖资料中载明的相关要求及条款予以了认可并接受。本资料附件中的《国有股权转让</w:t>
      </w:r>
      <w:r>
        <w:rPr>
          <w:rFonts w:hint="eastAsia" w:ascii="仿宋" w:hAnsi="仿宋" w:eastAsia="仿宋" w:cs="仿宋"/>
          <w:color w:val="auto"/>
          <w:sz w:val="28"/>
          <w:szCs w:val="28"/>
        </w:rPr>
        <w:t>合同</w:t>
      </w:r>
      <w:r>
        <w:rPr>
          <w:rFonts w:hint="eastAsia" w:ascii="仿宋_GB2312" w:hAnsi="仿宋_GB2312" w:eastAsia="仿宋_GB2312" w:cs="仿宋_GB2312"/>
          <w:color w:val="auto"/>
          <w:sz w:val="28"/>
          <w:szCs w:val="28"/>
        </w:rPr>
        <w:t>》为范本，有关股权转让细节以按约定正式签署的《国有股权转让</w:t>
      </w:r>
      <w:r>
        <w:rPr>
          <w:rFonts w:hint="eastAsia" w:ascii="仿宋" w:hAnsi="仿宋" w:eastAsia="仿宋" w:cs="仿宋"/>
          <w:color w:val="auto"/>
          <w:sz w:val="28"/>
          <w:szCs w:val="28"/>
        </w:rPr>
        <w:t>合同</w:t>
      </w:r>
      <w:r>
        <w:rPr>
          <w:rFonts w:hint="eastAsia" w:ascii="仿宋_GB2312" w:hAnsi="仿宋_GB2312" w:eastAsia="仿宋_GB2312" w:cs="仿宋_GB2312"/>
          <w:color w:val="auto"/>
          <w:sz w:val="28"/>
          <w:szCs w:val="28"/>
        </w:rPr>
        <w:t>》为准。</w:t>
      </w:r>
    </w:p>
    <w:p>
      <w:pPr>
        <w:keepNext w:val="0"/>
        <w:keepLines w:val="0"/>
        <w:pageBreakBefore w:val="0"/>
        <w:widowControl/>
        <w:shd w:val="clear" w:color="auto" w:fill="FFFFFF"/>
        <w:kinsoku/>
        <w:wordWrap/>
        <w:overflowPunct/>
        <w:topLinePunct w:val="0"/>
        <w:bidi w:val="0"/>
        <w:snapToGrid/>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、本次拍卖一旦成交，买受人除需支付全部成交价款外还需承担以下费用。</w:t>
      </w:r>
    </w:p>
    <w:p>
      <w:pPr>
        <w:keepNext w:val="0"/>
        <w:keepLines w:val="0"/>
        <w:pageBreakBefore w:val="0"/>
        <w:widowControl/>
        <w:shd w:val="clear" w:color="auto" w:fill="FFFFFF"/>
        <w:kinsoku/>
        <w:wordWrap/>
        <w:overflowPunct/>
        <w:topLinePunct w:val="0"/>
        <w:bidi w:val="0"/>
        <w:snapToGrid/>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1）产权交易服务费：</w:t>
      </w:r>
    </w:p>
    <w:p>
      <w:pPr>
        <w:keepNext w:val="0"/>
        <w:keepLines w:val="0"/>
        <w:pageBreakBefore w:val="0"/>
        <w:widowControl/>
        <w:shd w:val="clear" w:color="auto" w:fill="FFFFFF"/>
        <w:kinsoku/>
        <w:wordWrap/>
        <w:overflowPunct/>
        <w:topLinePunct w:val="0"/>
        <w:bidi w:val="0"/>
        <w:snapToGrid/>
        <w:spacing w:line="600" w:lineRule="exact"/>
        <w:ind w:firstLine="560" w:firstLineChars="200"/>
        <w:rPr>
          <w:rFonts w:hint="eastAsia" w:ascii="仿宋" w:hAnsi="仿宋" w:eastAsia="仿宋" w:cs="仿宋"/>
          <w:color w:val="auto"/>
          <w:sz w:val="28"/>
          <w:szCs w:val="28"/>
        </w:rPr>
      </w:pPr>
      <w:r>
        <w:rPr>
          <w:rFonts w:hint="eastAsia" w:ascii="仿宋" w:hAnsi="仿宋" w:eastAsia="仿宋" w:cs="仿宋"/>
          <w:color w:val="auto"/>
          <w:sz w:val="28"/>
          <w:szCs w:val="28"/>
        </w:rPr>
        <w:t>买受人须向赣州市公共资源交易中心支付产权交易服务费，收费标准按赣发改收费［2017］922号、赣市降成本办字[2017]17号和赣发改公管[2019]275号等文件规定收取）。该费用在拍卖成交次日起3个工作日内汇入赣州市公共资源交易中心指定账户。（具体文件及计算标准可咨询赣州市公共资源交易中心）</w:t>
      </w:r>
    </w:p>
    <w:p>
      <w:pPr>
        <w:keepNext w:val="0"/>
        <w:keepLines w:val="0"/>
        <w:pageBreakBefore w:val="0"/>
        <w:widowControl/>
        <w:shd w:val="clear" w:color="auto" w:fill="FFFFFF"/>
        <w:kinsoku/>
        <w:wordWrap/>
        <w:overflowPunct/>
        <w:topLinePunct w:val="0"/>
        <w:bidi w:val="0"/>
        <w:snapToGrid/>
        <w:spacing w:line="600" w:lineRule="exact"/>
        <w:ind w:firstLine="560" w:firstLineChars="200"/>
        <w:rPr>
          <w:rFonts w:hint="eastAsia" w:ascii="仿宋" w:hAnsi="仿宋" w:eastAsia="仿宋" w:cs="仿宋"/>
          <w:sz w:val="28"/>
          <w:szCs w:val="28"/>
        </w:rPr>
      </w:pPr>
      <w:r>
        <w:rPr>
          <w:rFonts w:hint="eastAsia" w:ascii="仿宋" w:hAnsi="仿宋" w:eastAsia="仿宋" w:cs="仿宋"/>
          <w:color w:val="auto"/>
          <w:sz w:val="28"/>
          <w:szCs w:val="28"/>
        </w:rPr>
        <w:t>（2）拍卖佣金</w:t>
      </w:r>
      <w:r>
        <w:rPr>
          <w:rFonts w:hint="eastAsia" w:ascii="仿宋" w:hAnsi="仿宋" w:eastAsia="仿宋" w:cs="仿宋"/>
          <w:color w:val="auto"/>
          <w:sz w:val="28"/>
          <w:szCs w:val="28"/>
          <w:lang w:eastAsia="zh-CN"/>
        </w:rPr>
        <w:t>：</w:t>
      </w:r>
      <w:r>
        <w:rPr>
          <w:rFonts w:hint="eastAsia" w:ascii="仿宋" w:hAnsi="仿宋" w:eastAsia="仿宋" w:cs="仿宋"/>
          <w:bCs/>
          <w:color w:val="auto"/>
          <w:sz w:val="28"/>
          <w:szCs w:val="28"/>
        </w:rPr>
        <w:t>买受</w:t>
      </w:r>
      <w:r>
        <w:rPr>
          <w:rFonts w:hint="eastAsia" w:ascii="仿宋" w:hAnsi="仿宋" w:eastAsia="仿宋" w:cs="仿宋"/>
          <w:color w:val="auto"/>
          <w:sz w:val="28"/>
          <w:szCs w:val="28"/>
        </w:rPr>
        <w:t>人</w:t>
      </w:r>
      <w:r>
        <w:rPr>
          <w:rFonts w:hint="eastAsia" w:ascii="仿宋" w:hAnsi="仿宋" w:eastAsia="仿宋" w:cs="仿宋"/>
          <w:color w:val="auto"/>
          <w:sz w:val="28"/>
          <w:szCs w:val="28"/>
          <w:lang w:val="en-US" w:eastAsia="zh-CN"/>
        </w:rPr>
        <w:t>须</w:t>
      </w:r>
      <w:r>
        <w:rPr>
          <w:rFonts w:hint="eastAsia" w:ascii="仿宋" w:hAnsi="仿宋" w:eastAsia="仿宋" w:cs="仿宋"/>
          <w:color w:val="auto"/>
          <w:sz w:val="28"/>
          <w:szCs w:val="28"/>
        </w:rPr>
        <w:t>在拍卖成交次日起3个工作日向拍卖人支付</w:t>
      </w:r>
      <w:r>
        <w:rPr>
          <w:rFonts w:hint="eastAsia" w:ascii="仿宋" w:hAnsi="仿宋" w:eastAsia="仿宋" w:cs="仿宋"/>
          <w:color w:val="auto"/>
          <w:sz w:val="28"/>
          <w:szCs w:val="28"/>
          <w:lang w:val="en-US" w:eastAsia="zh-CN"/>
        </w:rPr>
        <w:t>90000元</w:t>
      </w:r>
      <w:r>
        <w:rPr>
          <w:rFonts w:hint="eastAsia" w:ascii="仿宋" w:hAnsi="仿宋" w:eastAsia="仿宋" w:cs="仿宋"/>
          <w:color w:val="auto"/>
          <w:sz w:val="28"/>
          <w:szCs w:val="28"/>
        </w:rPr>
        <w:t>拍</w:t>
      </w:r>
      <w:r>
        <w:rPr>
          <w:rFonts w:hint="eastAsia" w:ascii="仿宋" w:hAnsi="仿宋" w:eastAsia="仿宋" w:cs="仿宋"/>
          <w:sz w:val="28"/>
          <w:szCs w:val="28"/>
        </w:rPr>
        <w:t>卖佣金</w:t>
      </w:r>
      <w:r>
        <w:rPr>
          <w:rFonts w:hint="eastAsia" w:ascii="仿宋" w:hAnsi="仿宋" w:eastAsia="仿宋" w:cs="仿宋"/>
          <w:sz w:val="28"/>
          <w:szCs w:val="28"/>
          <w:lang w:val="en-US" w:eastAsia="zh-CN"/>
        </w:rPr>
        <w:t>至拍卖人指定账户</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四、</w:t>
      </w:r>
      <w:r>
        <w:rPr>
          <w:rFonts w:hint="eastAsia" w:ascii="仿宋" w:hAnsi="仿宋" w:eastAsia="仿宋" w:cs="仿宋"/>
          <w:sz w:val="28"/>
          <w:szCs w:val="28"/>
        </w:rPr>
        <w:t>拍卖方式</w:t>
      </w:r>
      <w:r>
        <w:rPr>
          <w:rFonts w:hint="eastAsia" w:ascii="仿宋" w:hAnsi="仿宋" w:eastAsia="仿宋" w:cs="仿宋"/>
          <w:sz w:val="28"/>
          <w:szCs w:val="28"/>
          <w:lang w:eastAsia="zh-CN"/>
        </w:rPr>
        <w:t>：</w:t>
      </w:r>
      <w:r>
        <w:rPr>
          <w:rFonts w:hint="eastAsia" w:ascii="仿宋" w:hAnsi="仿宋" w:eastAsia="仿宋" w:cs="仿宋"/>
          <w:sz w:val="28"/>
          <w:szCs w:val="28"/>
        </w:rPr>
        <w:t>本次</w:t>
      </w:r>
      <w:bookmarkStart w:id="0" w:name="_GoBack"/>
      <w:bookmarkEnd w:id="0"/>
      <w:r>
        <w:rPr>
          <w:rFonts w:hint="eastAsia" w:ascii="仿宋" w:hAnsi="仿宋" w:eastAsia="仿宋" w:cs="仿宋"/>
          <w:sz w:val="28"/>
          <w:szCs w:val="28"/>
        </w:rPr>
        <w:t>拍卖采用网络竞价增价拍卖方式，价高者得。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五、</w:t>
      </w:r>
      <w:r>
        <w:rPr>
          <w:rFonts w:hint="eastAsia" w:ascii="仿宋" w:hAnsi="仿宋" w:eastAsia="仿宋" w:cs="仿宋"/>
          <w:sz w:val="28"/>
          <w:szCs w:val="28"/>
        </w:rPr>
        <w:t>预披露时间以及标的展示时间、咨询电话</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1、预披露时间：自公告之日起至202</w:t>
      </w:r>
      <w:r>
        <w:rPr>
          <w:rFonts w:hint="eastAsia" w:ascii="仿宋" w:hAnsi="仿宋" w:eastAsia="仿宋" w:cs="仿宋"/>
          <w:sz w:val="28"/>
          <w:szCs w:val="28"/>
          <w:lang w:val="en-US" w:eastAsia="zh-CN"/>
        </w:rPr>
        <w:t>1</w:t>
      </w:r>
      <w:r>
        <w:rPr>
          <w:rFonts w:hint="eastAsia" w:ascii="仿宋" w:hAnsi="仿宋" w:eastAsia="仿宋" w:cs="仿宋"/>
          <w:sz w:val="28"/>
          <w:szCs w:val="28"/>
        </w:rPr>
        <w:t>年</w:t>
      </w:r>
      <w:r>
        <w:rPr>
          <w:rFonts w:hint="eastAsia" w:ascii="仿宋" w:hAnsi="仿宋" w:eastAsia="仿宋" w:cs="仿宋"/>
          <w:sz w:val="28"/>
          <w:szCs w:val="28"/>
          <w:lang w:val="en-US" w:eastAsia="zh-CN"/>
        </w:rPr>
        <w:t xml:space="preserve"> 2</w:t>
      </w:r>
      <w:r>
        <w:rPr>
          <w:rFonts w:hint="eastAsia" w:ascii="仿宋" w:hAnsi="仿宋" w:eastAsia="仿宋" w:cs="仿宋"/>
          <w:sz w:val="28"/>
          <w:szCs w:val="28"/>
        </w:rPr>
        <w:t>月</w:t>
      </w:r>
      <w:r>
        <w:rPr>
          <w:rFonts w:hint="eastAsia" w:ascii="仿宋" w:hAnsi="仿宋" w:eastAsia="仿宋" w:cs="仿宋"/>
          <w:sz w:val="28"/>
          <w:szCs w:val="28"/>
          <w:lang w:val="en-US" w:eastAsia="zh-CN"/>
        </w:rPr>
        <w:t>18</w:t>
      </w:r>
      <w:r>
        <w:rPr>
          <w:rFonts w:hint="eastAsia" w:ascii="仿宋" w:hAnsi="仿宋" w:eastAsia="仿宋" w:cs="仿宋"/>
          <w:sz w:val="28"/>
          <w:szCs w:val="28"/>
        </w:rPr>
        <w:t>日；</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2、标的展示时间：公告之日起至拍卖日前一天在标的所在地展示，由有意者自行查看；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color w:val="auto"/>
          <w:sz w:val="28"/>
          <w:szCs w:val="28"/>
        </w:rPr>
      </w:pPr>
      <w:r>
        <w:rPr>
          <w:rFonts w:hint="eastAsia" w:ascii="仿宋" w:hAnsi="仿宋" w:eastAsia="仿宋" w:cs="仿宋"/>
          <w:sz w:val="28"/>
          <w:szCs w:val="28"/>
        </w:rPr>
        <w:t>3、查看标的联系电话：</w:t>
      </w:r>
      <w:r>
        <w:rPr>
          <w:rFonts w:hint="eastAsia" w:ascii="仿宋" w:hAnsi="仿宋" w:eastAsia="仿宋" w:cs="仿宋"/>
          <w:color w:val="auto"/>
          <w:sz w:val="28"/>
          <w:szCs w:val="28"/>
          <w:lang w:val="en-US" w:eastAsia="zh-CN"/>
        </w:rPr>
        <w:t>吴先生18720794066，赵女士</w:t>
      </w: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17770758689</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color w:val="333333"/>
          <w:sz w:val="28"/>
          <w:szCs w:val="28"/>
        </w:rPr>
      </w:pPr>
      <w:r>
        <w:rPr>
          <w:rFonts w:hint="eastAsia" w:ascii="仿宋" w:hAnsi="仿宋" w:eastAsia="仿宋" w:cs="仿宋"/>
          <w:b/>
          <w:color w:val="333333"/>
          <w:sz w:val="28"/>
          <w:szCs w:val="28"/>
        </w:rPr>
        <w:t>六、拍卖时间、起拍价、竞买保证金及加价幅度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pPr>
      <w:r>
        <w:rPr>
          <w:rFonts w:hint="eastAsia" w:ascii="仿宋" w:hAnsi="仿宋" w:eastAsia="仿宋" w:cs="仿宋"/>
          <w:sz w:val="28"/>
          <w:szCs w:val="28"/>
          <w:lang w:val="en-US" w:eastAsia="zh-CN"/>
        </w:rPr>
        <w:t>本次拍卖起拍价：</w:t>
      </w:r>
      <w:r>
        <w:rPr>
          <w:rFonts w:hint="eastAsia" w:ascii="仿宋" w:hAnsi="仿宋" w:eastAsia="仿宋" w:cs="仿宋"/>
          <w:color w:val="auto"/>
          <w:sz w:val="28"/>
          <w:szCs w:val="28"/>
          <w:lang w:val="en-US" w:eastAsia="zh-CN"/>
        </w:rPr>
        <w:t>45084.64</w:t>
      </w:r>
      <w:r>
        <w:rPr>
          <w:rFonts w:hint="eastAsia" w:ascii="仿宋" w:hAnsi="仿宋" w:eastAsia="仿宋" w:cs="仿宋"/>
          <w:b w:val="0"/>
          <w:bCs w:val="0"/>
          <w:color w:val="auto"/>
          <w:sz w:val="28"/>
          <w:szCs w:val="28"/>
          <w:lang w:val="en-US" w:eastAsia="zh-CN"/>
        </w:rPr>
        <w:t>万</w:t>
      </w:r>
      <w:r>
        <w:rPr>
          <w:rFonts w:hint="eastAsia" w:ascii="仿宋" w:hAnsi="仿宋" w:eastAsia="仿宋" w:cs="仿宋"/>
          <w:b w:val="0"/>
          <w:bCs w:val="0"/>
          <w:color w:val="auto"/>
          <w:sz w:val="28"/>
          <w:szCs w:val="28"/>
        </w:rPr>
        <w:t>元</w:t>
      </w:r>
      <w:r>
        <w:rPr>
          <w:rFonts w:hint="eastAsia" w:ascii="仿宋" w:hAnsi="仿宋" w:eastAsia="仿宋" w:cs="仿宋"/>
          <w:sz w:val="28"/>
          <w:szCs w:val="28"/>
          <w:lang w:val="en-US" w:eastAsia="zh-CN"/>
        </w:rPr>
        <w:t>；</w:t>
      </w:r>
      <w:r>
        <w:rPr>
          <w:rFonts w:hint="eastAsia" w:ascii="仿宋" w:hAnsi="仿宋" w:eastAsia="仿宋" w:cs="仿宋"/>
          <w:color w:val="333333"/>
          <w:sz w:val="28"/>
          <w:szCs w:val="28"/>
        </w:rPr>
        <w:t>具体拍卖时间、竞买保证金数额等以正式发布的信息为准。</w:t>
      </w:r>
    </w:p>
    <w:p>
      <w:pPr>
        <w:keepNext w:val="0"/>
        <w:keepLines w:val="0"/>
        <w:pageBreakBefore w:val="0"/>
        <w:numPr>
          <w:ilvl w:val="0"/>
          <w:numId w:val="0"/>
        </w:numPr>
        <w:kinsoku/>
        <w:wordWrap/>
        <w:overflowPunct/>
        <w:topLinePunct w:val="0"/>
        <w:bidi w:val="0"/>
        <w:snapToGrid/>
        <w:spacing w:line="600" w:lineRule="exact"/>
        <w:ind w:firstLine="562" w:firstLine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en-US" w:eastAsia="zh-CN"/>
        </w:rPr>
        <w:t>七、</w:t>
      </w:r>
      <w:r>
        <w:rPr>
          <w:rFonts w:hint="eastAsia" w:ascii="仿宋_GB2312" w:hAnsi="仿宋_GB2312" w:eastAsia="仿宋_GB2312" w:cs="仿宋_GB2312"/>
          <w:b/>
          <w:color w:val="auto"/>
          <w:sz w:val="28"/>
          <w:szCs w:val="28"/>
        </w:rPr>
        <w:t>竞买人的竞买条件</w:t>
      </w:r>
    </w:p>
    <w:p>
      <w:pPr>
        <w:pStyle w:val="2"/>
        <w:keepNext w:val="0"/>
        <w:keepLines w:val="0"/>
        <w:pageBreakBefore w:val="0"/>
        <w:kinsoku/>
        <w:wordWrap/>
        <w:overflowPunct/>
        <w:topLinePunct w:val="0"/>
        <w:bidi w:val="0"/>
        <w:spacing w:line="36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1、</w:t>
      </w:r>
      <w:r>
        <w:rPr>
          <w:rFonts w:hint="eastAsia" w:ascii="仿宋" w:hAnsi="仿宋" w:eastAsia="仿宋" w:cs="仿宋"/>
          <w:b w:val="0"/>
          <w:bCs w:val="0"/>
          <w:color w:val="auto"/>
          <w:sz w:val="28"/>
          <w:szCs w:val="28"/>
        </w:rPr>
        <w:t>中华人民共和国境内（包括港、澳、台地区）具有完全民事行为能力的自然人、依法注册的具有独立法人资质的企业或其他组织均可报名参加竞拍。</w:t>
      </w:r>
    </w:p>
    <w:p>
      <w:pPr>
        <w:pStyle w:val="2"/>
        <w:keepNext w:val="0"/>
        <w:keepLines w:val="0"/>
        <w:pageBreakBefore w:val="0"/>
        <w:kinsoku/>
        <w:wordWrap/>
        <w:overflowPunct/>
        <w:topLinePunct w:val="0"/>
        <w:bidi w:val="0"/>
        <w:spacing w:line="36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2、</w:t>
      </w:r>
      <w:r>
        <w:rPr>
          <w:rFonts w:hint="eastAsia" w:ascii="仿宋" w:hAnsi="仿宋" w:eastAsia="仿宋" w:cs="仿宋"/>
          <w:b w:val="0"/>
          <w:bCs w:val="0"/>
          <w:color w:val="auto"/>
          <w:sz w:val="28"/>
          <w:szCs w:val="28"/>
        </w:rPr>
        <w:t>本次拍卖接受联合体竞拍。</w:t>
      </w:r>
    </w:p>
    <w:p>
      <w:pPr>
        <w:pStyle w:val="2"/>
        <w:keepNext w:val="0"/>
        <w:keepLines w:val="0"/>
        <w:pageBreakBefore w:val="0"/>
        <w:kinsoku/>
        <w:wordWrap/>
        <w:overflowPunct/>
        <w:topLinePunct w:val="0"/>
        <w:bidi w:val="0"/>
        <w:spacing w:line="360" w:lineRule="auto"/>
        <w:ind w:firstLine="560" w:firstLineChars="200"/>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lang w:val="en-US" w:eastAsia="zh-CN"/>
        </w:rPr>
        <w:t>3、</w:t>
      </w:r>
      <w:r>
        <w:rPr>
          <w:rFonts w:hint="eastAsia" w:ascii="仿宋" w:hAnsi="仿宋" w:eastAsia="仿宋" w:cs="仿宋"/>
          <w:b w:val="0"/>
          <w:bCs w:val="0"/>
          <w:color w:val="auto"/>
          <w:sz w:val="28"/>
          <w:szCs w:val="28"/>
        </w:rPr>
        <w:t>为保证沙河</w:t>
      </w:r>
      <w:r>
        <w:rPr>
          <w:rFonts w:hint="eastAsia" w:ascii="仿宋" w:hAnsi="仿宋" w:eastAsia="仿宋" w:cs="仿宋"/>
          <w:b w:val="0"/>
          <w:bCs w:val="0"/>
          <w:color w:val="auto"/>
          <w:sz w:val="28"/>
          <w:szCs w:val="28"/>
          <w:lang w:val="en-US" w:eastAsia="zh-CN"/>
        </w:rPr>
        <w:t>组团地块的综合打造</w:t>
      </w:r>
      <w:r>
        <w:rPr>
          <w:rFonts w:hint="eastAsia" w:ascii="仿宋" w:hAnsi="仿宋" w:eastAsia="仿宋" w:cs="仿宋"/>
          <w:b w:val="0"/>
          <w:bCs w:val="0"/>
          <w:color w:val="auto"/>
          <w:sz w:val="28"/>
          <w:szCs w:val="28"/>
        </w:rPr>
        <w:t>，项目设计方案须与周边星州润达城</w:t>
      </w:r>
      <w:r>
        <w:rPr>
          <w:rFonts w:hint="eastAsia" w:ascii="仿宋" w:hAnsi="仿宋" w:eastAsia="仿宋" w:cs="仿宋"/>
          <w:b w:val="0"/>
          <w:bCs w:val="0"/>
          <w:color w:val="auto"/>
          <w:sz w:val="28"/>
          <w:szCs w:val="28"/>
          <w:lang w:val="en-US" w:eastAsia="zh-CN"/>
        </w:rPr>
        <w:t>E3-1、E5-1、E5-2</w:t>
      </w:r>
      <w:r>
        <w:rPr>
          <w:rFonts w:hint="eastAsia" w:ascii="仿宋" w:hAnsi="仿宋" w:eastAsia="仿宋" w:cs="仿宋"/>
          <w:b w:val="0"/>
          <w:bCs w:val="0"/>
          <w:color w:val="auto"/>
          <w:sz w:val="28"/>
          <w:szCs w:val="28"/>
        </w:rPr>
        <w:t>三宗地统一规划，统一报批</w:t>
      </w:r>
      <w:r>
        <w:rPr>
          <w:rFonts w:hint="eastAsia" w:ascii="仿宋" w:hAnsi="仿宋" w:eastAsia="仿宋" w:cs="仿宋"/>
          <w:b w:val="0"/>
          <w:bCs w:val="0"/>
          <w:color w:val="auto"/>
          <w:sz w:val="28"/>
          <w:szCs w:val="28"/>
          <w:lang w:eastAsia="zh-CN"/>
        </w:rPr>
        <w:t>，</w:t>
      </w:r>
      <w:r>
        <w:rPr>
          <w:rFonts w:hint="eastAsia" w:ascii="仿宋" w:hAnsi="仿宋" w:eastAsia="仿宋" w:cs="仿宋"/>
          <w:b w:val="0"/>
          <w:bCs w:val="0"/>
          <w:color w:val="auto"/>
          <w:sz w:val="28"/>
          <w:szCs w:val="28"/>
          <w:lang w:val="en-US" w:eastAsia="zh-CN"/>
        </w:rPr>
        <w:t>并以“星州润达城”进行冠名</w:t>
      </w:r>
      <w:r>
        <w:rPr>
          <w:rFonts w:hint="eastAsia" w:ascii="仿宋" w:hAnsi="仿宋" w:eastAsia="仿宋" w:cs="仿宋"/>
          <w:b w:val="0"/>
          <w:bCs w:val="0"/>
          <w:color w:val="auto"/>
          <w:sz w:val="28"/>
          <w:szCs w:val="28"/>
          <w:lang w:eastAsia="zh-CN"/>
        </w:rPr>
        <w:t>。</w:t>
      </w:r>
    </w:p>
    <w:p>
      <w:pPr>
        <w:pStyle w:val="2"/>
        <w:keepNext w:val="0"/>
        <w:keepLines w:val="0"/>
        <w:pageBreakBefore w:val="0"/>
        <w:kinsoku/>
        <w:wordWrap/>
        <w:overflowPunct/>
        <w:topLinePunct w:val="0"/>
        <w:bidi w:val="0"/>
        <w:spacing w:line="360" w:lineRule="auto"/>
        <w:ind w:firstLine="560" w:firstLineChars="200"/>
        <w:rPr>
          <w:rFonts w:hint="eastAsia" w:ascii="仿宋" w:hAnsi="仿宋" w:eastAsia="仿宋" w:cs="仿宋"/>
          <w:b w:val="0"/>
          <w:bCs w:val="0"/>
          <w:color w:val="auto"/>
          <w:sz w:val="28"/>
          <w:szCs w:val="28"/>
          <w:lang w:eastAsia="zh-CN"/>
        </w:rPr>
      </w:pPr>
      <w:r>
        <w:rPr>
          <w:rFonts w:hint="eastAsia" w:ascii="仿宋" w:hAnsi="仿宋" w:eastAsia="仿宋" w:cs="仿宋"/>
          <w:b w:val="0"/>
          <w:bCs w:val="0"/>
          <w:color w:val="auto"/>
          <w:sz w:val="28"/>
          <w:szCs w:val="28"/>
          <w:lang w:val="en-US" w:eastAsia="zh-CN"/>
        </w:rPr>
        <w:t>4、</w:t>
      </w:r>
      <w:r>
        <w:rPr>
          <w:rFonts w:hint="eastAsia" w:ascii="仿宋" w:hAnsi="仿宋" w:eastAsia="仿宋" w:cs="仿宋"/>
          <w:b w:val="0"/>
          <w:bCs w:val="0"/>
          <w:color w:val="auto"/>
          <w:sz w:val="28"/>
          <w:szCs w:val="28"/>
        </w:rPr>
        <w:t>为保证项目的高品质呈现，</w:t>
      </w:r>
      <w:r>
        <w:rPr>
          <w:rFonts w:hint="eastAsia" w:ascii="仿宋" w:hAnsi="仿宋" w:eastAsia="仿宋" w:cs="仿宋"/>
          <w:b w:val="0"/>
          <w:bCs w:val="0"/>
          <w:color w:val="auto"/>
          <w:sz w:val="28"/>
          <w:szCs w:val="28"/>
          <w:highlight w:val="none"/>
        </w:rPr>
        <w:t>项目</w:t>
      </w:r>
      <w:r>
        <w:rPr>
          <w:rFonts w:hint="eastAsia" w:ascii="仿宋_GB2312" w:hAnsi="仿宋_GB2312" w:eastAsia="仿宋_GB2312" w:cs="仿宋_GB2312"/>
          <w:color w:val="auto"/>
          <w:sz w:val="28"/>
          <w:szCs w:val="28"/>
          <w:highlight w:val="none"/>
        </w:rPr>
        <w:t>E6-1</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E6-6</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E6-5</w:t>
      </w:r>
      <w:r>
        <w:rPr>
          <w:rFonts w:hint="eastAsia" w:ascii="仿宋" w:hAnsi="仿宋" w:eastAsia="仿宋" w:cs="仿宋"/>
          <w:b w:val="0"/>
          <w:bCs w:val="0"/>
          <w:color w:val="auto"/>
          <w:sz w:val="28"/>
          <w:szCs w:val="28"/>
          <w:highlight w:val="none"/>
        </w:rPr>
        <w:t>地块</w:t>
      </w:r>
      <w:r>
        <w:rPr>
          <w:rFonts w:hint="eastAsia" w:ascii="仿宋" w:hAnsi="仿宋" w:eastAsia="仿宋" w:cs="仿宋"/>
          <w:b w:val="0"/>
          <w:bCs w:val="0"/>
          <w:color w:val="auto"/>
          <w:sz w:val="28"/>
          <w:szCs w:val="28"/>
        </w:rPr>
        <w:t>中1.4万㎡邻里中心；0.97万㎡幼儿园需先行建设开发</w:t>
      </w:r>
      <w:r>
        <w:rPr>
          <w:rFonts w:hint="eastAsia" w:ascii="仿宋" w:hAnsi="仿宋" w:eastAsia="仿宋" w:cs="仿宋"/>
          <w:b w:val="0"/>
          <w:bCs w:val="0"/>
          <w:color w:val="auto"/>
          <w:sz w:val="28"/>
          <w:szCs w:val="28"/>
          <w:lang w:eastAsia="zh-CN"/>
        </w:rPr>
        <w:t>。</w:t>
      </w:r>
    </w:p>
    <w:p>
      <w:pPr>
        <w:widowControl/>
        <w:spacing w:line="600" w:lineRule="exact"/>
        <w:ind w:firstLine="560" w:firstLineChars="200"/>
        <w:jc w:val="left"/>
        <w:rPr>
          <w:rFonts w:hint="eastAsia" w:ascii="仿宋" w:hAnsi="仿宋" w:eastAsia="仿宋" w:cs="仿宋"/>
          <w:b w:val="0"/>
          <w:bCs w:val="0"/>
          <w:color w:val="auto"/>
          <w:sz w:val="28"/>
          <w:szCs w:val="28"/>
          <w:lang w:eastAsia="zh-CN"/>
        </w:rPr>
      </w:pPr>
      <w:r>
        <w:rPr>
          <w:rFonts w:hint="eastAsia" w:ascii="仿宋_GB2312" w:hAnsi="仿宋_GB2312" w:eastAsia="仿宋_GB2312" w:cs="仿宋_GB2312"/>
          <w:bCs/>
          <w:color w:val="auto"/>
          <w:sz w:val="28"/>
          <w:szCs w:val="28"/>
          <w:lang w:val="en-US" w:eastAsia="zh-CN"/>
        </w:rPr>
        <w:t>5、</w:t>
      </w:r>
      <w:r>
        <w:rPr>
          <w:rFonts w:hint="eastAsia" w:ascii="仿宋_GB2312" w:hAnsi="仿宋_GB2312" w:eastAsia="仿宋_GB2312" w:cs="仿宋_GB2312"/>
          <w:bCs/>
          <w:color w:val="auto"/>
          <w:sz w:val="28"/>
          <w:szCs w:val="28"/>
        </w:rPr>
        <w:t>竞买人必须通过购买CA数字证书。</w:t>
      </w:r>
    </w:p>
    <w:p>
      <w:pPr>
        <w:widowControl/>
        <w:spacing w:line="600" w:lineRule="exact"/>
        <w:ind w:firstLine="560" w:firstLineChars="200"/>
        <w:jc w:val="left"/>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需要委托他人代为竞</w:t>
      </w:r>
      <w:r>
        <w:rPr>
          <w:rFonts w:hint="eastAsia" w:ascii="仿宋" w:hAnsi="仿宋" w:eastAsia="仿宋" w:cs="仿宋"/>
          <w:color w:val="auto"/>
          <w:sz w:val="28"/>
          <w:szCs w:val="28"/>
          <w:lang w:val="en-US" w:eastAsia="zh-CN"/>
        </w:rPr>
        <w:t>买</w:t>
      </w:r>
      <w:r>
        <w:rPr>
          <w:rFonts w:hint="eastAsia" w:ascii="仿宋" w:hAnsi="仿宋" w:eastAsia="仿宋" w:cs="仿宋"/>
          <w:color w:val="auto"/>
          <w:sz w:val="28"/>
          <w:szCs w:val="28"/>
        </w:rPr>
        <w:t>的，须在江西省公共资源交易网勾选相应选项，并填写受托人相关身份信息。</w:t>
      </w:r>
      <w:r>
        <w:rPr>
          <w:rFonts w:hint="eastAsia" w:ascii="仿宋_GB2312" w:hAnsi="仿宋_GB2312" w:eastAsia="仿宋_GB2312" w:cs="仿宋_GB2312"/>
          <w:bCs/>
          <w:color w:val="auto"/>
          <w:sz w:val="28"/>
          <w:szCs w:val="28"/>
        </w:rPr>
        <w:t>受托人在该标的竞买活动中所做出的承诺、签署的合同或文件，委托人需予以承认，并承担由此产生的法律后果；</w:t>
      </w:r>
    </w:p>
    <w:p>
      <w:pPr>
        <w:keepNext w:val="0"/>
        <w:keepLines w:val="0"/>
        <w:pageBreakBefore w:val="0"/>
        <w:kinsoku/>
        <w:wordWrap/>
        <w:overflowPunct/>
        <w:topLinePunct w:val="0"/>
        <w:bidi w:val="0"/>
        <w:spacing w:line="360" w:lineRule="auto"/>
        <w:ind w:firstLine="480"/>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办理联合竞</w:t>
      </w:r>
      <w:r>
        <w:rPr>
          <w:rFonts w:hint="eastAsia" w:ascii="仿宋" w:hAnsi="仿宋" w:eastAsia="仿宋" w:cs="仿宋"/>
          <w:color w:val="auto"/>
          <w:sz w:val="28"/>
          <w:szCs w:val="28"/>
          <w:lang w:val="en-US" w:eastAsia="zh-CN"/>
        </w:rPr>
        <w:t>买</w:t>
      </w:r>
      <w:r>
        <w:rPr>
          <w:rFonts w:hint="eastAsia" w:ascii="仿宋" w:hAnsi="仿宋" w:eastAsia="仿宋" w:cs="仿宋"/>
          <w:color w:val="auto"/>
          <w:sz w:val="28"/>
          <w:szCs w:val="28"/>
        </w:rPr>
        <w:t>的，须在江西省公共资源交易网勾选相应选项，并填写联合竞</w:t>
      </w:r>
      <w:r>
        <w:rPr>
          <w:rFonts w:hint="eastAsia" w:ascii="仿宋" w:hAnsi="仿宋" w:eastAsia="仿宋" w:cs="仿宋"/>
          <w:color w:val="auto"/>
          <w:sz w:val="28"/>
          <w:szCs w:val="28"/>
          <w:lang w:val="en-US" w:eastAsia="zh-CN"/>
        </w:rPr>
        <w:t>买人</w:t>
      </w:r>
      <w:r>
        <w:rPr>
          <w:rFonts w:hint="eastAsia" w:ascii="仿宋" w:hAnsi="仿宋" w:eastAsia="仿宋" w:cs="仿宋"/>
          <w:color w:val="auto"/>
          <w:sz w:val="28"/>
          <w:szCs w:val="28"/>
        </w:rPr>
        <w:t>相关身份信息。</w:t>
      </w:r>
    </w:p>
    <w:p>
      <w:pPr>
        <w:keepNext w:val="0"/>
        <w:keepLines w:val="0"/>
        <w:pageBreakBefore w:val="0"/>
        <w:kinsoku/>
        <w:wordWrap/>
        <w:overflowPunct/>
        <w:topLinePunct w:val="0"/>
        <w:bidi w:val="0"/>
        <w:snapToGrid/>
        <w:spacing w:line="60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lang w:val="en-US" w:eastAsia="zh-CN"/>
        </w:rPr>
        <w:t>8、</w:t>
      </w:r>
      <w:r>
        <w:rPr>
          <w:rFonts w:hint="eastAsia" w:ascii="仿宋_GB2312" w:hAnsi="仿宋_GB2312" w:eastAsia="仿宋_GB2312" w:cs="仿宋_GB2312"/>
          <w:bCs/>
          <w:color w:val="auto"/>
          <w:sz w:val="28"/>
          <w:szCs w:val="28"/>
        </w:rPr>
        <w:t>法律法规规定的其他条件。</w:t>
      </w:r>
    </w:p>
    <w:p>
      <w:pPr>
        <w:keepNext w:val="0"/>
        <w:keepLines w:val="0"/>
        <w:pageBreakBefore w:val="0"/>
        <w:kinsoku/>
        <w:wordWrap/>
        <w:overflowPunct/>
        <w:topLinePunct w:val="0"/>
        <w:bidi w:val="0"/>
        <w:snapToGrid/>
        <w:spacing w:line="600" w:lineRule="exact"/>
        <w:ind w:firstLine="562" w:firstLineChars="200"/>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lang w:val="en-US" w:eastAsia="zh-CN"/>
        </w:rPr>
        <w:t>八</w:t>
      </w:r>
      <w:r>
        <w:rPr>
          <w:rFonts w:hint="eastAsia" w:ascii="仿宋_GB2312" w:hAnsi="仿宋_GB2312" w:eastAsia="仿宋_GB2312" w:cs="仿宋_GB2312"/>
          <w:b/>
          <w:bCs/>
          <w:color w:val="auto"/>
          <w:sz w:val="28"/>
          <w:szCs w:val="28"/>
        </w:rPr>
        <w:t>、咨询电话</w:t>
      </w:r>
    </w:p>
    <w:p>
      <w:pPr>
        <w:keepNext w:val="0"/>
        <w:keepLines w:val="0"/>
        <w:pageBreakBefore w:val="0"/>
        <w:kinsoku/>
        <w:wordWrap/>
        <w:overflowPunct/>
        <w:topLinePunct w:val="0"/>
        <w:bidi w:val="0"/>
        <w:snapToGrid/>
        <w:spacing w:line="600" w:lineRule="exact"/>
        <w:ind w:firstLine="560" w:firstLineChars="200"/>
        <w:jc w:val="lef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highlight w:val="none"/>
        </w:rPr>
        <w:t>赣州</w:t>
      </w:r>
      <w:r>
        <w:rPr>
          <w:rFonts w:hint="eastAsia" w:ascii="仿宋_GB2312" w:hAnsi="仿宋_GB2312" w:eastAsia="仿宋_GB2312" w:cs="仿宋_GB2312"/>
          <w:color w:val="auto"/>
          <w:sz w:val="28"/>
          <w:szCs w:val="28"/>
          <w:highlight w:val="none"/>
          <w:lang w:val="en-US" w:eastAsia="zh-CN"/>
        </w:rPr>
        <w:t>土地置业</w:t>
      </w:r>
      <w:r>
        <w:rPr>
          <w:rFonts w:hint="eastAsia" w:ascii="仿宋_GB2312" w:hAnsi="仿宋_GB2312" w:eastAsia="仿宋_GB2312" w:cs="仿宋_GB2312"/>
          <w:color w:val="auto"/>
          <w:sz w:val="28"/>
          <w:szCs w:val="28"/>
          <w:highlight w:val="none"/>
        </w:rPr>
        <w:t>有限公司</w:t>
      </w:r>
      <w:r>
        <w:rPr>
          <w:rFonts w:hint="eastAsia" w:ascii="仿宋_GB2312" w:hAnsi="仿宋_GB2312" w:eastAsia="仿宋_GB2312" w:cs="仿宋_GB2312"/>
          <w:color w:val="auto"/>
          <w:sz w:val="28"/>
          <w:szCs w:val="28"/>
        </w:rPr>
        <w:t>：</w:t>
      </w:r>
      <w:r>
        <w:rPr>
          <w:rFonts w:hint="eastAsia" w:ascii="仿宋" w:hAnsi="仿宋" w:eastAsia="仿宋" w:cs="仿宋"/>
          <w:b w:val="0"/>
          <w:bCs w:val="0"/>
          <w:color w:val="auto"/>
          <w:sz w:val="28"/>
          <w:szCs w:val="28"/>
          <w:u w:val="none"/>
          <w:lang w:val="en-US" w:eastAsia="zh-CN"/>
        </w:rPr>
        <w:t>18720794066吴先生</w:t>
      </w:r>
      <w:r>
        <w:rPr>
          <w:rFonts w:hint="eastAsia" w:ascii="仿宋" w:hAnsi="仿宋" w:eastAsia="仿宋" w:cs="仿宋"/>
          <w:color w:val="auto"/>
          <w:sz w:val="28"/>
          <w:szCs w:val="28"/>
        </w:rPr>
        <w:t xml:space="preserve"> </w:t>
      </w:r>
    </w:p>
    <w:p>
      <w:pPr>
        <w:keepNext w:val="0"/>
        <w:keepLines w:val="0"/>
        <w:pageBreakBefore w:val="0"/>
        <w:kinsoku/>
        <w:wordWrap/>
        <w:overflowPunct/>
        <w:topLinePunct w:val="0"/>
        <w:bidi w:val="0"/>
        <w:snapToGrid/>
        <w:spacing w:line="600" w:lineRule="exact"/>
        <w:ind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赣州市公共资源交易中心：</w:t>
      </w:r>
      <w:r>
        <w:rPr>
          <w:rFonts w:hint="eastAsia" w:ascii="仿宋" w:hAnsi="仿宋" w:eastAsia="仿宋" w:cs="仿宋"/>
          <w:color w:val="auto"/>
          <w:sz w:val="28"/>
          <w:szCs w:val="28"/>
        </w:rPr>
        <w:t xml:space="preserve">0797-8390937 </w:t>
      </w:r>
    </w:p>
    <w:p>
      <w:pPr>
        <w:keepNext w:val="0"/>
        <w:keepLines w:val="0"/>
        <w:pageBreakBefore w:val="0"/>
        <w:kinsoku/>
        <w:wordWrap/>
        <w:overflowPunct/>
        <w:topLinePunct w:val="0"/>
        <w:bidi w:val="0"/>
        <w:snapToGrid/>
        <w:spacing w:line="600" w:lineRule="exact"/>
        <w:ind w:firstLine="560" w:firstLineChars="200"/>
        <w:rPr>
          <w:rFonts w:hint="eastAsia" w:ascii="仿宋_GB2312" w:hAnsi="仿宋_GB2312" w:eastAsia="仿宋_GB2312" w:cs="仿宋_GB2312"/>
          <w:color w:val="auto"/>
          <w:kern w:val="0"/>
          <w:sz w:val="28"/>
          <w:szCs w:val="28"/>
        </w:rPr>
      </w:pPr>
      <w:r>
        <w:rPr>
          <w:rFonts w:hint="eastAsia" w:ascii="仿宋_GB2312" w:hAnsi="仿宋_GB2312" w:eastAsia="仿宋_GB2312" w:cs="仿宋_GB2312"/>
          <w:color w:val="auto"/>
          <w:kern w:val="0"/>
          <w:sz w:val="28"/>
          <w:szCs w:val="28"/>
        </w:rPr>
        <w:t>赣州</w:t>
      </w:r>
      <w:r>
        <w:rPr>
          <w:rFonts w:hint="eastAsia" w:ascii="仿宋_GB2312" w:hAnsi="仿宋_GB2312" w:eastAsia="仿宋_GB2312" w:cs="仿宋_GB2312"/>
          <w:color w:val="auto"/>
          <w:kern w:val="0"/>
          <w:sz w:val="28"/>
          <w:szCs w:val="28"/>
          <w:lang w:val="en-US" w:eastAsia="zh-CN"/>
        </w:rPr>
        <w:t>诚兴</w:t>
      </w:r>
      <w:r>
        <w:rPr>
          <w:rFonts w:hint="eastAsia" w:ascii="仿宋_GB2312" w:hAnsi="仿宋_GB2312" w:eastAsia="仿宋_GB2312" w:cs="仿宋_GB2312"/>
          <w:color w:val="auto"/>
          <w:kern w:val="0"/>
          <w:sz w:val="28"/>
          <w:szCs w:val="28"/>
        </w:rPr>
        <w:t>拍卖有限公司：07978163898   17770758689赵女士</w:t>
      </w:r>
    </w:p>
    <w:p>
      <w:pPr>
        <w:keepNext w:val="0"/>
        <w:keepLines w:val="0"/>
        <w:pageBreakBefore w:val="0"/>
        <w:kinsoku/>
        <w:wordWrap/>
        <w:overflowPunct/>
        <w:topLinePunct w:val="0"/>
        <w:bidi w:val="0"/>
        <w:snapToGrid/>
        <w:spacing w:line="600" w:lineRule="exact"/>
        <w:ind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国泰新点技术支持:400-998-0000（服务热线）、8161315赖先生</w:t>
      </w:r>
    </w:p>
    <w:p>
      <w:pPr>
        <w:keepNext w:val="0"/>
        <w:keepLines w:val="0"/>
        <w:pageBreakBefore w:val="0"/>
        <w:kinsoku/>
        <w:wordWrap/>
        <w:overflowPunct/>
        <w:topLinePunct w:val="0"/>
        <w:bidi w:val="0"/>
        <w:snapToGrid/>
        <w:spacing w:line="600" w:lineRule="exact"/>
        <w:ind w:firstLine="562" w:firstLine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en-US" w:eastAsia="zh-CN"/>
        </w:rPr>
        <w:t>九</w:t>
      </w:r>
      <w:r>
        <w:rPr>
          <w:rFonts w:hint="eastAsia" w:ascii="仿宋_GB2312" w:hAnsi="仿宋_GB2312" w:eastAsia="仿宋_GB2312" w:cs="仿宋_GB2312"/>
          <w:b/>
          <w:color w:val="auto"/>
          <w:sz w:val="28"/>
          <w:szCs w:val="28"/>
        </w:rPr>
        <w:t>、详情请登陆下列网站并参见《拍卖资料》</w:t>
      </w:r>
    </w:p>
    <w:p>
      <w:pPr>
        <w:keepNext w:val="0"/>
        <w:keepLines w:val="0"/>
        <w:pageBreakBefore w:val="0"/>
        <w:kinsoku/>
        <w:wordWrap/>
        <w:overflowPunct/>
        <w:topLinePunct w:val="0"/>
        <w:bidi w:val="0"/>
        <w:snapToGrid/>
        <w:spacing w:line="600" w:lineRule="exact"/>
        <w:ind w:firstLine="560" w:firstLineChars="20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江西省公共资源交易网（</w:t>
      </w:r>
      <w:r>
        <w:rPr>
          <w:rFonts w:hint="eastAsia" w:ascii="仿宋_GB2312" w:hAnsi="仿宋_GB2312" w:eastAsia="仿宋_GB2312" w:cs="仿宋_GB2312"/>
          <w:color w:val="auto"/>
          <w:sz w:val="28"/>
          <w:szCs w:val="28"/>
          <w:u w:val="single"/>
        </w:rPr>
        <w:t>http://www.jxsggzy.cn/</w:t>
      </w:r>
      <w:r>
        <w:rPr>
          <w:rFonts w:hint="eastAsia" w:ascii="仿宋_GB2312" w:hAnsi="仿宋_GB2312" w:eastAsia="仿宋_GB2312" w:cs="仿宋_GB2312"/>
          <w:color w:val="auto"/>
          <w:sz w:val="28"/>
          <w:szCs w:val="28"/>
        </w:rPr>
        <w:t>）；</w:t>
      </w:r>
    </w:p>
    <w:p>
      <w:pPr>
        <w:keepNext w:val="0"/>
        <w:keepLines w:val="0"/>
        <w:pageBreakBefore w:val="0"/>
        <w:kinsoku/>
        <w:wordWrap/>
        <w:overflowPunct/>
        <w:topLinePunct w:val="0"/>
        <w:bidi w:val="0"/>
        <w:snapToGrid/>
        <w:spacing w:line="600" w:lineRule="exact"/>
        <w:ind w:firstLine="560" w:firstLineChars="200"/>
        <w:rPr>
          <w:rFonts w:hint="eastAsia" w:ascii="仿宋_GB2312" w:hAnsi="仿宋_GB2312" w:eastAsia="仿宋_GB2312" w:cs="仿宋_GB2312"/>
          <w:color w:val="auto"/>
          <w:sz w:val="28"/>
          <w:szCs w:val="28"/>
          <w:lang w:bidi="ar"/>
        </w:rPr>
      </w:pPr>
      <w:r>
        <w:rPr>
          <w:rFonts w:hint="eastAsia" w:ascii="仿宋_GB2312" w:hAnsi="仿宋_GB2312" w:eastAsia="仿宋_GB2312" w:cs="仿宋_GB2312"/>
          <w:color w:val="auto"/>
          <w:sz w:val="28"/>
          <w:szCs w:val="28"/>
          <w:lang w:bidi="ar"/>
        </w:rPr>
        <w:t>赣州市人民政府网（</w:t>
      </w:r>
      <w:r>
        <w:rPr>
          <w:rFonts w:hint="eastAsia" w:ascii="仿宋_GB2312" w:hAnsi="仿宋_GB2312" w:eastAsia="仿宋_GB2312" w:cs="仿宋_GB2312"/>
          <w:color w:val="auto"/>
          <w:sz w:val="28"/>
          <w:szCs w:val="28"/>
          <w:lang w:bidi="ar"/>
        </w:rPr>
        <w:fldChar w:fldCharType="begin"/>
      </w:r>
      <w:r>
        <w:rPr>
          <w:rFonts w:hint="eastAsia" w:ascii="仿宋_GB2312" w:hAnsi="仿宋_GB2312" w:eastAsia="仿宋_GB2312" w:cs="仿宋_GB2312"/>
          <w:color w:val="auto"/>
          <w:sz w:val="28"/>
          <w:szCs w:val="28"/>
          <w:lang w:bidi="ar"/>
        </w:rPr>
        <w:instrText xml:space="preserve"> HYPERLINK "http://www.ganzhou.gov.cn/" </w:instrText>
      </w:r>
      <w:r>
        <w:rPr>
          <w:rFonts w:hint="eastAsia" w:ascii="仿宋_GB2312" w:hAnsi="仿宋_GB2312" w:eastAsia="仿宋_GB2312" w:cs="仿宋_GB2312"/>
          <w:color w:val="auto"/>
          <w:sz w:val="28"/>
          <w:szCs w:val="28"/>
          <w:lang w:bidi="ar"/>
        </w:rPr>
        <w:fldChar w:fldCharType="separate"/>
      </w:r>
      <w:r>
        <w:rPr>
          <w:rStyle w:val="12"/>
          <w:rFonts w:hint="eastAsia" w:ascii="仿宋_GB2312" w:hAnsi="仿宋_GB2312" w:eastAsia="仿宋_GB2312" w:cs="仿宋_GB2312"/>
          <w:color w:val="auto"/>
          <w:sz w:val="28"/>
          <w:szCs w:val="28"/>
          <w:lang w:bidi="ar"/>
        </w:rPr>
        <w:t>http://www.ganzhou.gov.cn/</w:t>
      </w:r>
      <w:r>
        <w:rPr>
          <w:rFonts w:hint="eastAsia" w:ascii="仿宋_GB2312" w:hAnsi="仿宋_GB2312" w:eastAsia="仿宋_GB2312" w:cs="仿宋_GB2312"/>
          <w:color w:val="auto"/>
          <w:sz w:val="28"/>
          <w:szCs w:val="28"/>
          <w:lang w:bidi="ar"/>
        </w:rPr>
        <w:fldChar w:fldCharType="end"/>
      </w:r>
      <w:r>
        <w:rPr>
          <w:rFonts w:hint="eastAsia" w:ascii="仿宋_GB2312" w:hAnsi="仿宋_GB2312" w:eastAsia="仿宋_GB2312" w:cs="仿宋_GB2312"/>
          <w:color w:val="auto"/>
          <w:sz w:val="28"/>
          <w:szCs w:val="28"/>
          <w:lang w:bidi="ar"/>
        </w:rPr>
        <w:t>）；</w:t>
      </w:r>
    </w:p>
    <w:p>
      <w:pPr>
        <w:keepNext w:val="0"/>
        <w:keepLines w:val="0"/>
        <w:pageBreakBefore w:val="0"/>
        <w:kinsoku/>
        <w:wordWrap/>
        <w:overflowPunct/>
        <w:topLinePunct w:val="0"/>
        <w:bidi w:val="0"/>
        <w:snapToGrid/>
        <w:spacing w:line="600" w:lineRule="exact"/>
        <w:ind w:firstLine="560" w:firstLineChars="200"/>
        <w:rPr>
          <w:rFonts w:hint="eastAsia" w:ascii="仿宋_GB2312" w:hAnsi="仿宋_GB2312" w:eastAsia="仿宋_GB2312" w:cs="仿宋_GB2312"/>
          <w:color w:val="auto"/>
          <w:sz w:val="28"/>
          <w:szCs w:val="28"/>
          <w:lang w:eastAsia="zh-CN" w:bidi="ar"/>
        </w:rPr>
      </w:pPr>
      <w:r>
        <w:rPr>
          <w:rFonts w:hint="eastAsia" w:ascii="仿宋_GB2312" w:hAnsi="仿宋_GB2312" w:eastAsia="仿宋_GB2312" w:cs="仿宋_GB2312"/>
          <w:color w:val="auto"/>
          <w:sz w:val="28"/>
          <w:szCs w:val="28"/>
          <w:lang w:bidi="ar"/>
        </w:rPr>
        <w:t>赣州拍卖网（</w:t>
      </w:r>
      <w:r>
        <w:rPr>
          <w:rFonts w:hint="eastAsia" w:ascii="仿宋_GB2312" w:hAnsi="仿宋_GB2312" w:eastAsia="仿宋_GB2312" w:cs="仿宋_GB2312"/>
          <w:color w:val="auto"/>
          <w:sz w:val="28"/>
          <w:szCs w:val="28"/>
          <w:lang w:bidi="ar"/>
        </w:rPr>
        <w:fldChar w:fldCharType="begin"/>
      </w:r>
      <w:r>
        <w:rPr>
          <w:rFonts w:hint="eastAsia" w:ascii="仿宋_GB2312" w:hAnsi="仿宋_GB2312" w:eastAsia="仿宋_GB2312" w:cs="仿宋_GB2312"/>
          <w:color w:val="auto"/>
          <w:sz w:val="28"/>
          <w:szCs w:val="28"/>
          <w:lang w:bidi="ar"/>
        </w:rPr>
        <w:instrText xml:space="preserve"> HYPERLINK "http://www.gzpm123.com" </w:instrText>
      </w:r>
      <w:r>
        <w:rPr>
          <w:rFonts w:hint="eastAsia" w:ascii="仿宋_GB2312" w:hAnsi="仿宋_GB2312" w:eastAsia="仿宋_GB2312" w:cs="仿宋_GB2312"/>
          <w:color w:val="auto"/>
          <w:sz w:val="28"/>
          <w:szCs w:val="28"/>
          <w:lang w:bidi="ar"/>
        </w:rPr>
        <w:fldChar w:fldCharType="separate"/>
      </w:r>
      <w:r>
        <w:rPr>
          <w:rStyle w:val="12"/>
          <w:rFonts w:hint="eastAsia" w:ascii="仿宋_GB2312" w:hAnsi="仿宋_GB2312" w:eastAsia="仿宋_GB2312" w:cs="仿宋_GB2312"/>
          <w:color w:val="auto"/>
          <w:sz w:val="28"/>
          <w:szCs w:val="28"/>
          <w:lang w:bidi="ar"/>
        </w:rPr>
        <w:t>http://www.gzpm123.com</w:t>
      </w:r>
      <w:r>
        <w:rPr>
          <w:rFonts w:hint="eastAsia" w:ascii="仿宋_GB2312" w:hAnsi="仿宋_GB2312" w:eastAsia="仿宋_GB2312" w:cs="仿宋_GB2312"/>
          <w:color w:val="auto"/>
          <w:sz w:val="28"/>
          <w:szCs w:val="28"/>
          <w:lang w:bidi="ar"/>
        </w:rPr>
        <w:fldChar w:fldCharType="end"/>
      </w:r>
      <w:r>
        <w:rPr>
          <w:rFonts w:hint="eastAsia" w:ascii="仿宋_GB2312" w:hAnsi="仿宋_GB2312" w:eastAsia="仿宋_GB2312" w:cs="仿宋_GB2312"/>
          <w:color w:val="auto"/>
          <w:sz w:val="28"/>
          <w:szCs w:val="28"/>
          <w:lang w:bidi="ar"/>
        </w:rPr>
        <w:t>）</w:t>
      </w:r>
      <w:r>
        <w:rPr>
          <w:rFonts w:hint="eastAsia" w:ascii="仿宋_GB2312" w:hAnsi="仿宋_GB2312" w:eastAsia="仿宋_GB2312" w:cs="仿宋_GB2312"/>
          <w:color w:val="auto"/>
          <w:sz w:val="28"/>
          <w:szCs w:val="28"/>
          <w:lang w:eastAsia="zh-CN" w:bidi="ar"/>
        </w:rPr>
        <w:t>。</w:t>
      </w:r>
    </w:p>
    <w:p>
      <w:pPr>
        <w:pStyle w:val="2"/>
        <w:rPr>
          <w:rFonts w:hint="eastAsia" w:ascii="仿宋_GB2312" w:hAnsi="仿宋_GB2312" w:eastAsia="仿宋_GB2312" w:cs="仿宋_GB2312"/>
          <w:color w:val="auto"/>
          <w:sz w:val="28"/>
          <w:szCs w:val="28"/>
          <w:lang w:eastAsia="zh-CN" w:bidi="ar"/>
        </w:rPr>
      </w:pPr>
    </w:p>
    <w:p>
      <w:pPr>
        <w:keepNext w:val="0"/>
        <w:keepLines w:val="0"/>
        <w:pageBreakBefore w:val="0"/>
        <w:kinsoku/>
        <w:wordWrap/>
        <w:overflowPunct/>
        <w:topLinePunct w:val="0"/>
        <w:bidi w:val="0"/>
        <w:snapToGrid/>
        <w:spacing w:line="600" w:lineRule="exact"/>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赣州市公共资源交易中心</w:t>
      </w:r>
    </w:p>
    <w:p>
      <w:pPr>
        <w:keepNext w:val="0"/>
        <w:keepLines w:val="0"/>
        <w:pageBreakBefore w:val="0"/>
        <w:kinsoku/>
        <w:wordWrap/>
        <w:overflowPunct/>
        <w:topLinePunct w:val="0"/>
        <w:bidi w:val="0"/>
        <w:snapToGrid/>
        <w:spacing w:line="600" w:lineRule="exact"/>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赣州</w:t>
      </w:r>
      <w:r>
        <w:rPr>
          <w:rFonts w:hint="eastAsia" w:ascii="仿宋_GB2312" w:hAnsi="仿宋_GB2312" w:eastAsia="仿宋_GB2312" w:cs="仿宋_GB2312"/>
          <w:color w:val="auto"/>
          <w:sz w:val="28"/>
          <w:szCs w:val="28"/>
          <w:lang w:val="en-US" w:eastAsia="zh-CN"/>
        </w:rPr>
        <w:t>诚兴</w:t>
      </w:r>
      <w:r>
        <w:rPr>
          <w:rFonts w:hint="eastAsia" w:ascii="仿宋_GB2312" w:hAnsi="仿宋_GB2312" w:eastAsia="仿宋_GB2312" w:cs="仿宋_GB2312"/>
          <w:color w:val="auto"/>
          <w:sz w:val="28"/>
          <w:szCs w:val="28"/>
        </w:rPr>
        <w:t>拍卖有限公司</w:t>
      </w:r>
    </w:p>
    <w:p>
      <w:pPr>
        <w:keepNext w:val="0"/>
        <w:keepLines w:val="0"/>
        <w:pageBreakBefore w:val="0"/>
        <w:kinsoku/>
        <w:wordWrap/>
        <w:overflowPunct/>
        <w:topLinePunct w:val="0"/>
        <w:bidi w:val="0"/>
        <w:snapToGrid/>
        <w:spacing w:line="600" w:lineRule="exact"/>
        <w:ind w:right="280"/>
        <w:jc w:val="right"/>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 w:val="28"/>
          <w:szCs w:val="28"/>
        </w:rPr>
        <w:t>202</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14</w:t>
      </w:r>
      <w:r>
        <w:rPr>
          <w:rFonts w:hint="eastAsia" w:ascii="仿宋_GB2312" w:hAnsi="仿宋_GB2312" w:eastAsia="仿宋_GB2312" w:cs="仿宋_GB2312"/>
          <w:color w:val="auto"/>
          <w:sz w:val="28"/>
          <w:szCs w:val="28"/>
        </w:rPr>
        <w:t>日</w:t>
      </w:r>
    </w:p>
    <w:p>
      <w:pPr>
        <w:pStyle w:val="2"/>
        <w:rPr>
          <w:rFonts w:hint="eastAsia" w:ascii="黑体" w:hAnsi="黑体" w:eastAsia="黑体" w:cs="仿宋_GB2312"/>
          <w:b/>
          <w:color w:val="auto"/>
          <w:sz w:val="36"/>
          <w:szCs w:val="36"/>
        </w:rPr>
      </w:pPr>
    </w:p>
    <w:p>
      <w:pPr>
        <w:pStyle w:val="2"/>
        <w:rPr>
          <w:rFonts w:hint="eastAsia" w:ascii="黑体" w:hAnsi="黑体" w:eastAsia="黑体" w:cs="仿宋_GB2312"/>
          <w:b/>
          <w:color w:val="auto"/>
          <w:sz w:val="36"/>
          <w:szCs w:val="36"/>
        </w:rPr>
      </w:pPr>
    </w:p>
    <w:p>
      <w:pPr>
        <w:pStyle w:val="2"/>
        <w:rPr>
          <w:rFonts w:hint="eastAsia" w:ascii="黑体" w:hAnsi="黑体" w:eastAsia="黑体" w:cs="仿宋_GB2312"/>
          <w:b/>
          <w:color w:val="auto"/>
          <w:sz w:val="36"/>
          <w:szCs w:val="36"/>
        </w:rPr>
      </w:pPr>
    </w:p>
    <w:p>
      <w:pPr>
        <w:pStyle w:val="2"/>
        <w:rPr>
          <w:rFonts w:hint="eastAsia" w:ascii="黑体" w:hAnsi="黑体" w:eastAsia="黑体" w:cs="仿宋_GB2312"/>
          <w:b/>
          <w:color w:val="auto"/>
          <w:sz w:val="36"/>
          <w:szCs w:val="36"/>
        </w:rPr>
      </w:pPr>
    </w:p>
    <w:p>
      <w:pPr>
        <w:pStyle w:val="2"/>
        <w:rPr>
          <w:rFonts w:hint="eastAsia" w:ascii="黑体" w:hAnsi="黑体" w:eastAsia="黑体" w:cs="仿宋_GB2312"/>
          <w:b/>
          <w:color w:val="auto"/>
          <w:sz w:val="36"/>
          <w:szCs w:val="36"/>
        </w:rPr>
      </w:pPr>
    </w:p>
    <w:p>
      <w:pPr>
        <w:pStyle w:val="13"/>
        <w:rPr>
          <w:rFonts w:hint="eastAsia" w:ascii="黑体" w:hAnsi="黑体" w:eastAsia="黑体" w:cs="仿宋_GB2312"/>
          <w:color w:val="auto"/>
          <w:kern w:val="2"/>
          <w:sz w:val="36"/>
          <w:szCs w:val="36"/>
        </w:rPr>
        <w:sectPr>
          <w:headerReference r:id="rId3" w:type="default"/>
          <w:footerReference r:id="rId4" w:type="default"/>
          <w:pgSz w:w="11906" w:h="16838"/>
          <w:pgMar w:top="1440" w:right="1800" w:bottom="1958" w:left="1800" w:header="851" w:footer="992" w:gutter="0"/>
          <w:cols w:space="720" w:num="1"/>
          <w:docGrid w:type="lines" w:linePitch="312" w:charSpace="0"/>
        </w:sectPr>
      </w:pPr>
    </w:p>
    <w:p>
      <w:pPr>
        <w:rPr>
          <w:rFonts w:hint="eastAsia" w:ascii="宋体" w:hAnsi="宋体" w:cs="宋体"/>
          <w:b/>
          <w:bCs/>
          <w:color w:val="auto"/>
          <w:sz w:val="48"/>
          <w:szCs w:val="48"/>
        </w:rPr>
        <w:sectPr>
          <w:pgSz w:w="16838" w:h="11906" w:orient="landscape"/>
          <w:pgMar w:top="1803" w:right="1440" w:bottom="1803" w:left="1440" w:header="851" w:footer="992" w:gutter="0"/>
          <w:cols w:space="0" w:num="1"/>
          <w:rtlGutter w:val="0"/>
          <w:docGrid w:type="lines" w:linePitch="319" w:charSpace="0"/>
        </w:sectPr>
      </w:pPr>
      <w:r>
        <w:rPr>
          <w:rFonts w:hint="eastAsia" w:ascii="宋体" w:hAnsi="宋体" w:cs="宋体"/>
          <w:b/>
          <w:bCs/>
          <w:color w:val="auto"/>
          <w:sz w:val="48"/>
          <w:szCs w:val="48"/>
        </w:rPr>
        <w:drawing>
          <wp:inline distT="0" distB="0" distL="114300" distR="114300">
            <wp:extent cx="7749540" cy="5586095"/>
            <wp:effectExtent l="0" t="0" r="3810" b="14605"/>
            <wp:docPr id="8" name="图片 8" descr="a0c5b24173db6d4345ed82c52f00d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0c5b24173db6d4345ed82c52f00d9d"/>
                    <pic:cNvPicPr>
                      <a:picLocks noChangeAspect="1"/>
                    </pic:cNvPicPr>
                  </pic:nvPicPr>
                  <pic:blipFill>
                    <a:blip r:embed="rId7"/>
                    <a:stretch>
                      <a:fillRect/>
                    </a:stretch>
                  </pic:blipFill>
                  <pic:spPr>
                    <a:xfrm>
                      <a:off x="0" y="0"/>
                      <a:ext cx="7749540" cy="5586095"/>
                    </a:xfrm>
                    <a:prstGeom prst="rect">
                      <a:avLst/>
                    </a:prstGeom>
                  </pic:spPr>
                </pic:pic>
              </a:graphicData>
            </a:graphic>
          </wp:inline>
        </w:drawing>
      </w:r>
      <w:r>
        <w:rPr>
          <w:rFonts w:hint="eastAsia" w:ascii="宋体" w:hAnsi="宋体" w:cs="宋体"/>
          <w:b/>
          <w:bCs/>
          <w:color w:val="auto"/>
          <w:sz w:val="48"/>
          <w:szCs w:val="48"/>
        </w:rPr>
        <w:t xml:space="preserve"> </w:t>
      </w:r>
    </w:p>
    <w:p>
      <w:pPr>
        <w:pStyle w:val="2"/>
        <w:rPr>
          <w:rFonts w:hint="eastAsia" w:eastAsia="宋体"/>
          <w:lang w:eastAsia="zh-CN"/>
        </w:rPr>
        <w:sectPr>
          <w:pgSz w:w="11906" w:h="16838"/>
          <w:pgMar w:top="1440" w:right="1803" w:bottom="1440" w:left="1803" w:header="851" w:footer="992" w:gutter="0"/>
          <w:cols w:space="0" w:num="1"/>
          <w:rtlGutter w:val="0"/>
          <w:docGrid w:type="lines" w:linePitch="319" w:charSpace="0"/>
        </w:sectPr>
      </w:pPr>
      <w:r>
        <w:rPr>
          <w:rFonts w:hint="eastAsia" w:eastAsia="宋体"/>
          <w:lang w:eastAsia="zh-CN"/>
        </w:rPr>
        <w:drawing>
          <wp:inline distT="0" distB="0" distL="114300" distR="114300">
            <wp:extent cx="5249545" cy="7282180"/>
            <wp:effectExtent l="0" t="0" r="8255" b="13970"/>
            <wp:docPr id="9" name="图片 9" descr="fcf399848a5822eebcbe050c6a97a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cf399848a5822eebcbe050c6a97aed"/>
                    <pic:cNvPicPr>
                      <a:picLocks noChangeAspect="1"/>
                    </pic:cNvPicPr>
                  </pic:nvPicPr>
                  <pic:blipFill>
                    <a:blip r:embed="rId8"/>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10" name="图片 10" descr="bc1832e0fb9359057f7996ab2328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c1832e0fb9359057f7996ab23285b8"/>
                    <pic:cNvPicPr>
                      <a:picLocks noChangeAspect="1"/>
                    </pic:cNvPicPr>
                  </pic:nvPicPr>
                  <pic:blipFill>
                    <a:blip r:embed="rId9"/>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11" name="图片 11" descr="0dfbd656d1ede38650b30d169be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dfbd656d1ede38650b30d169be9038"/>
                    <pic:cNvPicPr>
                      <a:picLocks noChangeAspect="1"/>
                    </pic:cNvPicPr>
                  </pic:nvPicPr>
                  <pic:blipFill>
                    <a:blip r:embed="rId10"/>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12" name="图片 12" descr="dfa77615ae090bbcb7bd0b2a5ef6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fa77615ae090bbcb7bd0b2a5ef6b6e"/>
                    <pic:cNvPicPr>
                      <a:picLocks noChangeAspect="1"/>
                    </pic:cNvPicPr>
                  </pic:nvPicPr>
                  <pic:blipFill>
                    <a:blip r:embed="rId11"/>
                    <a:stretch>
                      <a:fillRect/>
                    </a:stretch>
                  </pic:blipFill>
                  <pic:spPr>
                    <a:xfrm>
                      <a:off x="0" y="0"/>
                      <a:ext cx="5249545" cy="7282180"/>
                    </a:xfrm>
                    <a:prstGeom prst="rect">
                      <a:avLst/>
                    </a:prstGeom>
                  </pic:spPr>
                </pic:pic>
              </a:graphicData>
            </a:graphic>
          </wp:inline>
        </w:drawing>
      </w:r>
    </w:p>
    <w:p>
      <w:pPr>
        <w:pStyle w:val="2"/>
        <w:ind w:left="638" w:leftChars="304" w:firstLine="0" w:firstLineChars="0"/>
        <w:rPr>
          <w:rFonts w:hint="eastAsia" w:eastAsia="宋体"/>
          <w:lang w:eastAsia="zh-CN"/>
        </w:rPr>
        <w:sectPr>
          <w:pgSz w:w="16838" w:h="11906" w:orient="landscape"/>
          <w:pgMar w:top="1803" w:right="1440" w:bottom="1803" w:left="1440" w:header="851" w:footer="992" w:gutter="0"/>
          <w:cols w:space="0" w:num="1"/>
          <w:rtlGutter w:val="0"/>
          <w:docGrid w:type="lines" w:linePitch="319" w:charSpace="0"/>
        </w:sectPr>
      </w:pPr>
      <w:r>
        <w:rPr>
          <w:rFonts w:hint="eastAsia" w:eastAsia="宋体"/>
          <w:lang w:eastAsia="zh-CN"/>
        </w:rPr>
        <w:drawing>
          <wp:inline distT="0" distB="0" distL="114300" distR="114300">
            <wp:extent cx="6819265" cy="4915535"/>
            <wp:effectExtent l="0" t="0" r="635" b="18415"/>
            <wp:docPr id="13" name="图片 13" descr="68cff2e2901b56e58feb76c0d0db7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8cff2e2901b56e58feb76c0d0db78c"/>
                    <pic:cNvPicPr>
                      <a:picLocks noChangeAspect="1"/>
                    </pic:cNvPicPr>
                  </pic:nvPicPr>
                  <pic:blipFill>
                    <a:blip r:embed="rId12"/>
                    <a:stretch>
                      <a:fillRect/>
                    </a:stretch>
                  </pic:blipFill>
                  <pic:spPr>
                    <a:xfrm>
                      <a:off x="0" y="0"/>
                      <a:ext cx="6819265" cy="491553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15" name="图片 15" descr="a86964a63d9f9df8fb6baa259a36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86964a63d9f9df8fb6baa259a369f8"/>
                    <pic:cNvPicPr>
                      <a:picLocks noChangeAspect="1"/>
                    </pic:cNvPicPr>
                  </pic:nvPicPr>
                  <pic:blipFill>
                    <a:blip r:embed="rId13"/>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14" name="图片 14" descr="1591af678db7b484ea1771dac9ea4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591af678db7b484ea1771dac9ea4e3"/>
                    <pic:cNvPicPr>
                      <a:picLocks noChangeAspect="1"/>
                    </pic:cNvPicPr>
                  </pic:nvPicPr>
                  <pic:blipFill>
                    <a:blip r:embed="rId14"/>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16" name="图片 16" descr="370fc3bc262f5700aeb5cdf9319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70fc3bc262f5700aeb5cdf9319e163"/>
                    <pic:cNvPicPr>
                      <a:picLocks noChangeAspect="1"/>
                    </pic:cNvPicPr>
                  </pic:nvPicPr>
                  <pic:blipFill>
                    <a:blip r:embed="rId15"/>
                    <a:stretch>
                      <a:fillRect/>
                    </a:stretch>
                  </pic:blipFill>
                  <pic:spPr>
                    <a:xfrm>
                      <a:off x="0" y="0"/>
                      <a:ext cx="7282180" cy="5249545"/>
                    </a:xfrm>
                    <a:prstGeom prst="rect">
                      <a:avLst/>
                    </a:prstGeom>
                  </pic:spPr>
                </pic:pic>
              </a:graphicData>
            </a:graphic>
          </wp:inline>
        </w:drawing>
      </w:r>
    </w:p>
    <w:p>
      <w:pPr>
        <w:pStyle w:val="2"/>
        <w:ind w:left="638" w:leftChars="304" w:firstLine="0" w:firstLineChars="0"/>
        <w:rPr>
          <w:rFonts w:hint="eastAsia" w:eastAsia="宋体"/>
          <w:lang w:eastAsia="zh-CN"/>
        </w:rPr>
        <w:sectPr>
          <w:pgSz w:w="11906" w:h="16838"/>
          <w:pgMar w:top="1440" w:right="1803" w:bottom="1440" w:left="1803" w:header="851" w:footer="992" w:gutter="0"/>
          <w:cols w:space="0" w:num="1"/>
          <w:rtlGutter w:val="0"/>
          <w:docGrid w:type="lines" w:linePitch="319" w:charSpace="0"/>
        </w:sectPr>
      </w:pPr>
      <w:r>
        <w:rPr>
          <w:rFonts w:hint="eastAsia" w:eastAsia="宋体"/>
          <w:lang w:eastAsia="zh-CN"/>
        </w:rPr>
        <w:drawing>
          <wp:inline distT="0" distB="0" distL="114300" distR="114300">
            <wp:extent cx="5249545" cy="7282180"/>
            <wp:effectExtent l="0" t="0" r="8255" b="13970"/>
            <wp:docPr id="17" name="图片 17" descr="023eeaca98a8f089e68f38662465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23eeaca98a8f089e68f38662465e30"/>
                    <pic:cNvPicPr>
                      <a:picLocks noChangeAspect="1"/>
                    </pic:cNvPicPr>
                  </pic:nvPicPr>
                  <pic:blipFill>
                    <a:blip r:embed="rId16"/>
                    <a:stretch>
                      <a:fillRect/>
                    </a:stretch>
                  </pic:blipFill>
                  <pic:spPr>
                    <a:xfrm>
                      <a:off x="0" y="0"/>
                      <a:ext cx="5249545" cy="7282180"/>
                    </a:xfrm>
                    <a:prstGeom prst="rect">
                      <a:avLst/>
                    </a:prstGeom>
                  </pic:spPr>
                </pic:pic>
              </a:graphicData>
            </a:graphic>
          </wp:inline>
        </w:drawing>
      </w:r>
    </w:p>
    <w:p>
      <w:pPr>
        <w:pStyle w:val="2"/>
        <w:ind w:left="638" w:leftChars="304" w:firstLine="0" w:firstLineChars="0"/>
        <w:rPr>
          <w:rFonts w:hint="eastAsia" w:eastAsia="宋体"/>
          <w:lang w:eastAsia="zh-CN"/>
        </w:rPr>
        <w:sectPr>
          <w:pgSz w:w="16838" w:h="11906" w:orient="landscape"/>
          <w:pgMar w:top="1803" w:right="1440" w:bottom="1803" w:left="1440" w:header="851" w:footer="992" w:gutter="0"/>
          <w:cols w:space="0" w:num="1"/>
          <w:rtlGutter w:val="0"/>
          <w:docGrid w:type="lines" w:linePitch="319" w:charSpace="0"/>
        </w:sectPr>
      </w:pPr>
      <w:r>
        <w:rPr>
          <w:rFonts w:hint="eastAsia" w:eastAsia="宋体"/>
          <w:lang w:eastAsia="zh-CN"/>
        </w:rPr>
        <w:drawing>
          <wp:inline distT="0" distB="0" distL="114300" distR="114300">
            <wp:extent cx="5314315" cy="7085965"/>
            <wp:effectExtent l="0" t="0" r="635" b="635"/>
            <wp:docPr id="18" name="图片 18" descr="0df9958c6aae48c9bed09bd8fc78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df9958c6aae48c9bed09bd8fc7883d"/>
                    <pic:cNvPicPr>
                      <a:picLocks noChangeAspect="1"/>
                    </pic:cNvPicPr>
                  </pic:nvPicPr>
                  <pic:blipFill>
                    <a:blip r:embed="rId17"/>
                    <a:stretch>
                      <a:fillRect/>
                    </a:stretch>
                  </pic:blipFill>
                  <pic:spPr>
                    <a:xfrm rot="16200000">
                      <a:off x="0" y="0"/>
                      <a:ext cx="5314315" cy="708596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19" name="图片 19" descr="3d97d14f58818c1cbf642624a70b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d97d14f58818c1cbf642624a70b802"/>
                    <pic:cNvPicPr>
                      <a:picLocks noChangeAspect="1"/>
                    </pic:cNvPicPr>
                  </pic:nvPicPr>
                  <pic:blipFill>
                    <a:blip r:embed="rId18"/>
                    <a:stretch>
                      <a:fillRect/>
                    </a:stretch>
                  </pic:blipFill>
                  <pic:spPr>
                    <a:xfrm>
                      <a:off x="0" y="0"/>
                      <a:ext cx="7282180" cy="5249545"/>
                    </a:xfrm>
                    <a:prstGeom prst="rect">
                      <a:avLst/>
                    </a:prstGeom>
                  </pic:spPr>
                </pic:pic>
              </a:graphicData>
            </a:graphic>
          </wp:inline>
        </w:drawing>
      </w:r>
    </w:p>
    <w:p>
      <w:pPr>
        <w:pStyle w:val="2"/>
        <w:ind w:left="213" w:leftChars="0" w:hanging="213" w:hangingChars="89"/>
        <w:rPr>
          <w:rFonts w:hint="eastAsia" w:eastAsia="宋体"/>
          <w:lang w:eastAsia="zh-CN"/>
        </w:rPr>
        <w:sectPr>
          <w:pgSz w:w="11906" w:h="16838"/>
          <w:pgMar w:top="1440" w:right="1803" w:bottom="1440" w:left="1803" w:header="851" w:footer="992" w:gutter="0"/>
          <w:cols w:space="0" w:num="1"/>
          <w:rtlGutter w:val="0"/>
          <w:docGrid w:type="lines" w:linePitch="319" w:charSpace="0"/>
        </w:sectPr>
      </w:pPr>
      <w:r>
        <w:rPr>
          <w:rFonts w:hint="eastAsia" w:eastAsia="宋体"/>
          <w:lang w:eastAsia="zh-CN"/>
        </w:rPr>
        <w:drawing>
          <wp:inline distT="0" distB="0" distL="114300" distR="114300">
            <wp:extent cx="5249545" cy="7282180"/>
            <wp:effectExtent l="0" t="0" r="8255" b="13970"/>
            <wp:docPr id="20" name="图片 20" descr="a96835f3c41b78414d424eaa5f93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96835f3c41b78414d424eaa5f9317c"/>
                    <pic:cNvPicPr>
                      <a:picLocks noChangeAspect="1"/>
                    </pic:cNvPicPr>
                  </pic:nvPicPr>
                  <pic:blipFill>
                    <a:blip r:embed="rId19"/>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21" name="图片 21" descr="75f09550ab177dc3d79ad3bc953f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5f09550ab177dc3d79ad3bc953fbee"/>
                    <pic:cNvPicPr>
                      <a:picLocks noChangeAspect="1"/>
                    </pic:cNvPicPr>
                  </pic:nvPicPr>
                  <pic:blipFill>
                    <a:blip r:embed="rId20"/>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22" name="图片 22" descr="ee7d4c1ef3ed6ee34add5e9cade9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e7d4c1ef3ed6ee34add5e9cade9b70"/>
                    <pic:cNvPicPr>
                      <a:picLocks noChangeAspect="1"/>
                    </pic:cNvPicPr>
                  </pic:nvPicPr>
                  <pic:blipFill>
                    <a:blip r:embed="rId21"/>
                    <a:stretch>
                      <a:fillRect/>
                    </a:stretch>
                  </pic:blipFill>
                  <pic:spPr>
                    <a:xfrm>
                      <a:off x="0" y="0"/>
                      <a:ext cx="5249545" cy="7282180"/>
                    </a:xfrm>
                    <a:prstGeom prst="rect">
                      <a:avLst/>
                    </a:prstGeom>
                  </pic:spPr>
                </pic:pic>
              </a:graphicData>
            </a:graphic>
          </wp:inline>
        </w:drawing>
      </w:r>
    </w:p>
    <w:p>
      <w:pPr>
        <w:pStyle w:val="2"/>
        <w:ind w:left="213" w:leftChars="0" w:hanging="213" w:hangingChars="89"/>
        <w:rPr>
          <w:rFonts w:hint="eastAsia" w:eastAsia="宋体"/>
          <w:lang w:eastAsia="zh-CN"/>
        </w:rPr>
        <w:sectPr>
          <w:pgSz w:w="16838" w:h="11906" w:orient="landscape"/>
          <w:pgMar w:top="1803" w:right="1440" w:bottom="1803" w:left="1440" w:header="851" w:footer="992" w:gutter="0"/>
          <w:cols w:space="0" w:num="1"/>
          <w:rtlGutter w:val="0"/>
          <w:docGrid w:type="lines" w:linePitch="319" w:charSpace="0"/>
        </w:sectPr>
      </w:pPr>
      <w:r>
        <w:rPr>
          <w:rFonts w:hint="eastAsia" w:eastAsia="宋体"/>
          <w:lang w:eastAsia="zh-CN"/>
        </w:rPr>
        <w:drawing>
          <wp:inline distT="0" distB="0" distL="114300" distR="114300">
            <wp:extent cx="7282180" cy="5249545"/>
            <wp:effectExtent l="0" t="0" r="13970" b="8255"/>
            <wp:docPr id="23" name="图片 23" descr="eadb636ad902fb6aae22bc3a10848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adb636ad902fb6aae22bc3a10848b3"/>
                    <pic:cNvPicPr>
                      <a:picLocks noChangeAspect="1"/>
                    </pic:cNvPicPr>
                  </pic:nvPicPr>
                  <pic:blipFill>
                    <a:blip r:embed="rId22"/>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24" name="图片 24" descr="a491e1bc307d988ed90aab5e106e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491e1bc307d988ed90aab5e106e62f"/>
                    <pic:cNvPicPr>
                      <a:picLocks noChangeAspect="1"/>
                    </pic:cNvPicPr>
                  </pic:nvPicPr>
                  <pic:blipFill>
                    <a:blip r:embed="rId23"/>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25" name="图片 25" descr="e097ec920a5c4aa6f7af04e87bff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097ec920a5c4aa6f7af04e87bff969"/>
                    <pic:cNvPicPr>
                      <a:picLocks noChangeAspect="1"/>
                    </pic:cNvPicPr>
                  </pic:nvPicPr>
                  <pic:blipFill>
                    <a:blip r:embed="rId24"/>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5858510" cy="8129270"/>
            <wp:effectExtent l="0" t="0" r="5080" b="8890"/>
            <wp:docPr id="26" name="图片 26" descr="97d4175b857a184680aa402b8fc4b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7d4175b857a184680aa402b8fc4b77"/>
                    <pic:cNvPicPr>
                      <a:picLocks noChangeAspect="1"/>
                    </pic:cNvPicPr>
                  </pic:nvPicPr>
                  <pic:blipFill>
                    <a:blip r:embed="rId25"/>
                    <a:stretch>
                      <a:fillRect/>
                    </a:stretch>
                  </pic:blipFill>
                  <pic:spPr>
                    <a:xfrm rot="5400000">
                      <a:off x="0" y="0"/>
                      <a:ext cx="5858510" cy="8129270"/>
                    </a:xfrm>
                    <a:prstGeom prst="rect">
                      <a:avLst/>
                    </a:prstGeom>
                  </pic:spPr>
                </pic:pic>
              </a:graphicData>
            </a:graphic>
          </wp:inline>
        </w:drawing>
      </w:r>
    </w:p>
    <w:p>
      <w:pPr>
        <w:pStyle w:val="2"/>
        <w:ind w:left="213" w:leftChars="0" w:hanging="213" w:hangingChars="89"/>
        <w:rPr>
          <w:rFonts w:hint="eastAsia" w:eastAsia="宋体"/>
          <w:lang w:eastAsia="zh-CN"/>
        </w:rPr>
        <w:sectPr>
          <w:pgSz w:w="11906" w:h="16838"/>
          <w:pgMar w:top="1440" w:right="1803" w:bottom="1440" w:left="1803" w:header="851" w:footer="992" w:gutter="0"/>
          <w:cols w:space="0" w:num="1"/>
          <w:rtlGutter w:val="0"/>
          <w:docGrid w:type="lines" w:linePitch="319" w:charSpace="0"/>
        </w:sectPr>
      </w:pPr>
      <w:r>
        <w:rPr>
          <w:rFonts w:hint="eastAsia" w:eastAsia="宋体"/>
          <w:lang w:eastAsia="zh-CN"/>
        </w:rPr>
        <w:drawing>
          <wp:inline distT="0" distB="0" distL="114300" distR="114300">
            <wp:extent cx="5055870" cy="7014210"/>
            <wp:effectExtent l="0" t="0" r="11430" b="15240"/>
            <wp:docPr id="27" name="图片 27" descr="a5462a55d3e52793696c9c6239ce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5462a55d3e52793696c9c6239ce38a"/>
                    <pic:cNvPicPr>
                      <a:picLocks noChangeAspect="1"/>
                    </pic:cNvPicPr>
                  </pic:nvPicPr>
                  <pic:blipFill>
                    <a:blip r:embed="rId26"/>
                    <a:stretch>
                      <a:fillRect/>
                    </a:stretch>
                  </pic:blipFill>
                  <pic:spPr>
                    <a:xfrm>
                      <a:off x="0" y="0"/>
                      <a:ext cx="5055870" cy="7014210"/>
                    </a:xfrm>
                    <a:prstGeom prst="rect">
                      <a:avLst/>
                    </a:prstGeom>
                  </pic:spPr>
                </pic:pic>
              </a:graphicData>
            </a:graphic>
          </wp:inline>
        </w:drawing>
      </w:r>
    </w:p>
    <w:p>
      <w:pPr>
        <w:pStyle w:val="2"/>
        <w:ind w:left="213" w:leftChars="0" w:hanging="213" w:hangingChars="89"/>
        <w:rPr>
          <w:rFonts w:hint="eastAsia" w:eastAsia="宋体"/>
          <w:lang w:eastAsia="zh-CN"/>
        </w:rPr>
        <w:sectPr>
          <w:pgSz w:w="16838" w:h="11906" w:orient="landscape"/>
          <w:pgMar w:top="1803" w:right="1440" w:bottom="1803" w:left="1440" w:header="851" w:footer="992" w:gutter="0"/>
          <w:cols w:space="0" w:num="1"/>
          <w:rtlGutter w:val="0"/>
          <w:docGrid w:type="lines" w:linePitch="319" w:charSpace="0"/>
        </w:sectPr>
      </w:pPr>
      <w:r>
        <w:rPr>
          <w:rFonts w:hint="eastAsia" w:eastAsia="宋体"/>
          <w:lang w:eastAsia="zh-CN"/>
        </w:rPr>
        <w:drawing>
          <wp:inline distT="0" distB="0" distL="114300" distR="114300">
            <wp:extent cx="5706745" cy="7609205"/>
            <wp:effectExtent l="0" t="0" r="10795" b="8255"/>
            <wp:docPr id="28" name="图片 28" descr="b4f848bae43e1f335e6082d09693e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4f848bae43e1f335e6082d09693ea9"/>
                    <pic:cNvPicPr>
                      <a:picLocks noChangeAspect="1"/>
                    </pic:cNvPicPr>
                  </pic:nvPicPr>
                  <pic:blipFill>
                    <a:blip r:embed="rId27"/>
                    <a:stretch>
                      <a:fillRect/>
                    </a:stretch>
                  </pic:blipFill>
                  <pic:spPr>
                    <a:xfrm rot="16200000">
                      <a:off x="0" y="0"/>
                      <a:ext cx="5706745" cy="760920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29" name="图片 29" descr="d062837b10b096ab50a04523bc7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062837b10b096ab50a04523bc77559"/>
                    <pic:cNvPicPr>
                      <a:picLocks noChangeAspect="1"/>
                    </pic:cNvPicPr>
                  </pic:nvPicPr>
                  <pic:blipFill>
                    <a:blip r:embed="rId28"/>
                    <a:stretch>
                      <a:fillRect/>
                    </a:stretch>
                  </pic:blipFill>
                  <pic:spPr>
                    <a:xfrm>
                      <a:off x="0" y="0"/>
                      <a:ext cx="7282180" cy="5249545"/>
                    </a:xfrm>
                    <a:prstGeom prst="rect">
                      <a:avLst/>
                    </a:prstGeom>
                  </pic:spPr>
                </pic:pic>
              </a:graphicData>
            </a:graphic>
          </wp:inline>
        </w:drawing>
      </w:r>
    </w:p>
    <w:p>
      <w:pPr>
        <w:pStyle w:val="2"/>
        <w:ind w:left="213" w:leftChars="0" w:hanging="213" w:hangingChars="89"/>
        <w:rPr>
          <w:rFonts w:hint="eastAsia" w:eastAsia="宋体"/>
          <w:lang w:eastAsia="zh-CN"/>
        </w:rPr>
        <w:sectPr>
          <w:pgSz w:w="11906" w:h="16838"/>
          <w:pgMar w:top="1440" w:right="1803" w:bottom="1440" w:left="1803" w:header="851" w:footer="992" w:gutter="0"/>
          <w:cols w:space="0" w:num="1"/>
          <w:rtlGutter w:val="0"/>
          <w:docGrid w:type="lines" w:linePitch="319" w:charSpace="0"/>
        </w:sectPr>
      </w:pPr>
      <w:r>
        <w:rPr>
          <w:rFonts w:hint="eastAsia" w:eastAsia="宋体"/>
          <w:lang w:eastAsia="zh-CN"/>
        </w:rPr>
        <w:drawing>
          <wp:inline distT="0" distB="0" distL="114300" distR="114300">
            <wp:extent cx="5249545" cy="7282180"/>
            <wp:effectExtent l="0" t="0" r="8255" b="13970"/>
            <wp:docPr id="31" name="图片 31" descr="69d90087d308a2d827bec33c5b4b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69d90087d308a2d827bec33c5b4b7eb"/>
                    <pic:cNvPicPr>
                      <a:picLocks noChangeAspect="1"/>
                    </pic:cNvPicPr>
                  </pic:nvPicPr>
                  <pic:blipFill>
                    <a:blip r:embed="rId29"/>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35" name="图片 35" descr="574553245ecfbf893786870b9d18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74553245ecfbf893786870b9d18586"/>
                    <pic:cNvPicPr>
                      <a:picLocks noChangeAspect="1"/>
                    </pic:cNvPicPr>
                  </pic:nvPicPr>
                  <pic:blipFill>
                    <a:blip r:embed="rId30"/>
                    <a:stretch>
                      <a:fillRect/>
                    </a:stretch>
                  </pic:blipFill>
                  <pic:spPr>
                    <a:xfrm>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32" name="图片 32" descr="ce17c1b402c2c14c0ab260df3d1e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e17c1b402c2c14c0ab260df3d1e0cd"/>
                    <pic:cNvPicPr>
                      <a:picLocks noChangeAspect="1"/>
                    </pic:cNvPicPr>
                  </pic:nvPicPr>
                  <pic:blipFill>
                    <a:blip r:embed="rId31"/>
                    <a:stretch>
                      <a:fillRect/>
                    </a:stretch>
                  </pic:blipFill>
                  <pic:spPr>
                    <a:xfrm rot="10800000">
                      <a:off x="0" y="0"/>
                      <a:ext cx="5249545" cy="7282180"/>
                    </a:xfrm>
                    <a:prstGeom prst="rect">
                      <a:avLst/>
                    </a:prstGeom>
                  </pic:spPr>
                </pic:pic>
              </a:graphicData>
            </a:graphic>
          </wp:inline>
        </w:drawing>
      </w:r>
      <w:r>
        <w:rPr>
          <w:rFonts w:hint="eastAsia" w:eastAsia="宋体"/>
          <w:lang w:eastAsia="zh-CN"/>
        </w:rPr>
        <w:drawing>
          <wp:inline distT="0" distB="0" distL="114300" distR="114300">
            <wp:extent cx="5249545" cy="7282180"/>
            <wp:effectExtent l="0" t="0" r="8255" b="13970"/>
            <wp:docPr id="34" name="图片 34" descr="f6075e25cebbe44423b119c93c958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6075e25cebbe44423b119c93c958d7"/>
                    <pic:cNvPicPr>
                      <a:picLocks noChangeAspect="1"/>
                    </pic:cNvPicPr>
                  </pic:nvPicPr>
                  <pic:blipFill>
                    <a:blip r:embed="rId32"/>
                    <a:stretch>
                      <a:fillRect/>
                    </a:stretch>
                  </pic:blipFill>
                  <pic:spPr>
                    <a:xfrm rot="10800000">
                      <a:off x="0" y="0"/>
                      <a:ext cx="5249545" cy="7282180"/>
                    </a:xfrm>
                    <a:prstGeom prst="rect">
                      <a:avLst/>
                    </a:prstGeom>
                  </pic:spPr>
                </pic:pic>
              </a:graphicData>
            </a:graphic>
          </wp:inline>
        </w:drawing>
      </w:r>
    </w:p>
    <w:p>
      <w:pPr>
        <w:pStyle w:val="2"/>
        <w:ind w:left="213" w:leftChars="0" w:hanging="213" w:hangingChars="89"/>
        <w:rPr>
          <w:rFonts w:hint="eastAsia" w:eastAsia="宋体"/>
          <w:lang w:eastAsia="zh-CN"/>
        </w:rPr>
      </w:pPr>
      <w:r>
        <w:rPr>
          <w:rFonts w:hint="eastAsia" w:eastAsia="宋体"/>
          <w:lang w:eastAsia="zh-CN"/>
        </w:rPr>
        <w:drawing>
          <wp:inline distT="0" distB="0" distL="114300" distR="114300">
            <wp:extent cx="7282180" cy="5249545"/>
            <wp:effectExtent l="0" t="0" r="13970" b="8255"/>
            <wp:docPr id="36" name="图片 36" descr="ee7019259f62071597267d4a1681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e7019259f62071597267d4a16818e0"/>
                    <pic:cNvPicPr>
                      <a:picLocks noChangeAspect="1"/>
                    </pic:cNvPicPr>
                  </pic:nvPicPr>
                  <pic:blipFill>
                    <a:blip r:embed="rId33"/>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37" name="图片 37" descr="765357edb6817b0a00e6e62e8f1a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65357edb6817b0a00e6e62e8f1afd9"/>
                    <pic:cNvPicPr>
                      <a:picLocks noChangeAspect="1"/>
                    </pic:cNvPicPr>
                  </pic:nvPicPr>
                  <pic:blipFill>
                    <a:blip r:embed="rId34"/>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38" name="图片 38" descr="0d2bdcf305490f8275b3626f245d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d2bdcf305490f8275b3626f245d275"/>
                    <pic:cNvPicPr>
                      <a:picLocks noChangeAspect="1"/>
                    </pic:cNvPicPr>
                  </pic:nvPicPr>
                  <pic:blipFill>
                    <a:blip r:embed="rId35"/>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7282180" cy="5249545"/>
            <wp:effectExtent l="0" t="0" r="13970" b="8255"/>
            <wp:docPr id="39" name="图片 39" descr="10458c17a81271cb01cf6b1cd1e15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0458c17a81271cb01cf6b1cd1e15af"/>
                    <pic:cNvPicPr>
                      <a:picLocks noChangeAspect="1"/>
                    </pic:cNvPicPr>
                  </pic:nvPicPr>
                  <pic:blipFill>
                    <a:blip r:embed="rId36"/>
                    <a:stretch>
                      <a:fillRect/>
                    </a:stretch>
                  </pic:blipFill>
                  <pic:spPr>
                    <a:xfrm>
                      <a:off x="0" y="0"/>
                      <a:ext cx="7282180" cy="5249545"/>
                    </a:xfrm>
                    <a:prstGeom prst="rect">
                      <a:avLst/>
                    </a:prstGeom>
                  </pic:spPr>
                </pic:pic>
              </a:graphicData>
            </a:graphic>
          </wp:inline>
        </w:drawing>
      </w:r>
      <w:r>
        <w:rPr>
          <w:rFonts w:hint="eastAsia" w:eastAsia="宋体"/>
          <w:lang w:eastAsia="zh-CN"/>
        </w:rPr>
        <w:drawing>
          <wp:inline distT="0" distB="0" distL="114300" distR="114300">
            <wp:extent cx="5414645" cy="7219315"/>
            <wp:effectExtent l="0" t="0" r="635" b="14605"/>
            <wp:docPr id="40" name="图片 40" descr="c1d0abfbbe8ed100807644169fc1b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1d0abfbbe8ed100807644169fc1b53"/>
                    <pic:cNvPicPr>
                      <a:picLocks noChangeAspect="1"/>
                    </pic:cNvPicPr>
                  </pic:nvPicPr>
                  <pic:blipFill>
                    <a:blip r:embed="rId37"/>
                    <a:stretch>
                      <a:fillRect/>
                    </a:stretch>
                  </pic:blipFill>
                  <pic:spPr>
                    <a:xfrm rot="16200000">
                      <a:off x="0" y="0"/>
                      <a:ext cx="5414645" cy="7219315"/>
                    </a:xfrm>
                    <a:prstGeom prst="rect">
                      <a:avLst/>
                    </a:prstGeom>
                  </pic:spPr>
                </pic:pic>
              </a:graphicData>
            </a:graphic>
          </wp:inline>
        </w:drawing>
      </w: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O11wiEbAgAAIQQAAA4A&#10;AAAAAAAAAQAgAAAAHwEAAGRycy9lMm9Eb2MueG1sUEsFBgAAAAAGAAYAWQEAAKwFAAAAAA==&#10;">
              <v:fill on="f" focussize="0,0"/>
              <v:stroke on="f" weight="0.5pt"/>
              <v:imagedata o:title=""/>
              <o:lock v:ext="edit" aspectratio="f"/>
              <v:textbox inset="0mm,0mm,0mm,0mm" style="mso-fit-shape-to-text:t;">
                <w:txbxContent>
                  <w:p>
                    <w:pPr>
                      <w:pStyle w:val="5"/>
                      <w:rPr>
                        <w:rFonts w:hint="eastAsia"/>
                      </w:rPr>
                    </w:pPr>
                    <w:r>
                      <w:rPr>
                        <w:rFonts w:hint="eastAsia"/>
                      </w:rPr>
                      <w:fldChar w:fldCharType="begin"/>
                    </w:r>
                    <w:r>
                      <w:rPr>
                        <w:rFonts w:hint="eastAsia"/>
                      </w:rPr>
                      <w:instrText xml:space="preserve"> PAGE  \* MERGEFORMAT </w:instrText>
                    </w:r>
                    <w:r>
                      <w:rPr>
                        <w:rFonts w:hint="eastAsia"/>
                      </w:rPr>
                      <w:fldChar w:fldCharType="separate"/>
                    </w:r>
                    <w:r>
                      <w:t>31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FC93EEB"/>
    <w:rsid w:val="003B36BD"/>
    <w:rsid w:val="008750D6"/>
    <w:rsid w:val="00B1450D"/>
    <w:rsid w:val="00B23A4E"/>
    <w:rsid w:val="00BC2461"/>
    <w:rsid w:val="00D90BF1"/>
    <w:rsid w:val="00ED4E87"/>
    <w:rsid w:val="01093610"/>
    <w:rsid w:val="01E721FC"/>
    <w:rsid w:val="024B6D02"/>
    <w:rsid w:val="02541B6A"/>
    <w:rsid w:val="02564897"/>
    <w:rsid w:val="03437D4D"/>
    <w:rsid w:val="03646AA6"/>
    <w:rsid w:val="039670D2"/>
    <w:rsid w:val="03CD6D00"/>
    <w:rsid w:val="03D033F7"/>
    <w:rsid w:val="03F242E6"/>
    <w:rsid w:val="04D56A4E"/>
    <w:rsid w:val="04DC7CED"/>
    <w:rsid w:val="04FC7DAE"/>
    <w:rsid w:val="055A2BC2"/>
    <w:rsid w:val="05C1416C"/>
    <w:rsid w:val="05EF7BD0"/>
    <w:rsid w:val="06130E9F"/>
    <w:rsid w:val="062B4794"/>
    <w:rsid w:val="063678E6"/>
    <w:rsid w:val="06545A73"/>
    <w:rsid w:val="066968CF"/>
    <w:rsid w:val="067107B0"/>
    <w:rsid w:val="06913FB6"/>
    <w:rsid w:val="06943ABE"/>
    <w:rsid w:val="073901E1"/>
    <w:rsid w:val="0739586F"/>
    <w:rsid w:val="07800359"/>
    <w:rsid w:val="079E1BF4"/>
    <w:rsid w:val="07DA3198"/>
    <w:rsid w:val="07EC2E64"/>
    <w:rsid w:val="080C4FAB"/>
    <w:rsid w:val="082325D7"/>
    <w:rsid w:val="083C33AE"/>
    <w:rsid w:val="08693F3C"/>
    <w:rsid w:val="08D91716"/>
    <w:rsid w:val="09035B8A"/>
    <w:rsid w:val="098E0322"/>
    <w:rsid w:val="09923ECD"/>
    <w:rsid w:val="0A3A423E"/>
    <w:rsid w:val="0A636CD4"/>
    <w:rsid w:val="0A857B90"/>
    <w:rsid w:val="0AE00110"/>
    <w:rsid w:val="0B176FB8"/>
    <w:rsid w:val="0B18674E"/>
    <w:rsid w:val="0C6C18D1"/>
    <w:rsid w:val="0C8F77AF"/>
    <w:rsid w:val="0CC25E4D"/>
    <w:rsid w:val="0CC81775"/>
    <w:rsid w:val="0CE47B95"/>
    <w:rsid w:val="0D0B142D"/>
    <w:rsid w:val="0D4D708B"/>
    <w:rsid w:val="0DF71636"/>
    <w:rsid w:val="0E465FBB"/>
    <w:rsid w:val="0E582AB3"/>
    <w:rsid w:val="0E71773B"/>
    <w:rsid w:val="0E9E5D0B"/>
    <w:rsid w:val="0EB55AAE"/>
    <w:rsid w:val="0ED13F65"/>
    <w:rsid w:val="0F53682B"/>
    <w:rsid w:val="0F5B271A"/>
    <w:rsid w:val="0F5C7628"/>
    <w:rsid w:val="0FA8593E"/>
    <w:rsid w:val="0FB26CC9"/>
    <w:rsid w:val="104015A2"/>
    <w:rsid w:val="10701A06"/>
    <w:rsid w:val="109425A3"/>
    <w:rsid w:val="10A57929"/>
    <w:rsid w:val="10E43309"/>
    <w:rsid w:val="11665BCE"/>
    <w:rsid w:val="11724B49"/>
    <w:rsid w:val="124C08AD"/>
    <w:rsid w:val="12AE3725"/>
    <w:rsid w:val="13CB6C36"/>
    <w:rsid w:val="14195714"/>
    <w:rsid w:val="141D2926"/>
    <w:rsid w:val="144B3E45"/>
    <w:rsid w:val="14BD0CBA"/>
    <w:rsid w:val="14CD6B9F"/>
    <w:rsid w:val="14D35ACB"/>
    <w:rsid w:val="14EB1FDD"/>
    <w:rsid w:val="14F35A44"/>
    <w:rsid w:val="15072523"/>
    <w:rsid w:val="1542749D"/>
    <w:rsid w:val="154D2E11"/>
    <w:rsid w:val="15E13B88"/>
    <w:rsid w:val="16165B03"/>
    <w:rsid w:val="162032BF"/>
    <w:rsid w:val="166C5C08"/>
    <w:rsid w:val="16D466BF"/>
    <w:rsid w:val="16E43388"/>
    <w:rsid w:val="16E8416A"/>
    <w:rsid w:val="17A770EC"/>
    <w:rsid w:val="17EA22A0"/>
    <w:rsid w:val="17F234CF"/>
    <w:rsid w:val="18672CA2"/>
    <w:rsid w:val="18EA6190"/>
    <w:rsid w:val="191A0D81"/>
    <w:rsid w:val="19911F11"/>
    <w:rsid w:val="19A472BD"/>
    <w:rsid w:val="19DA055F"/>
    <w:rsid w:val="1A8A0BCF"/>
    <w:rsid w:val="1A93220C"/>
    <w:rsid w:val="1AD675DF"/>
    <w:rsid w:val="1ADE14EE"/>
    <w:rsid w:val="1B637268"/>
    <w:rsid w:val="1B6701C2"/>
    <w:rsid w:val="1B92539B"/>
    <w:rsid w:val="1B92749B"/>
    <w:rsid w:val="1BEC5911"/>
    <w:rsid w:val="1C081465"/>
    <w:rsid w:val="1C1D781A"/>
    <w:rsid w:val="1C9977EC"/>
    <w:rsid w:val="1CD10A90"/>
    <w:rsid w:val="1CE71085"/>
    <w:rsid w:val="1CF37562"/>
    <w:rsid w:val="1D3409EF"/>
    <w:rsid w:val="1D527416"/>
    <w:rsid w:val="1DAA2D5E"/>
    <w:rsid w:val="1DF1786C"/>
    <w:rsid w:val="1E0344F1"/>
    <w:rsid w:val="1E1A0029"/>
    <w:rsid w:val="1E2E06E7"/>
    <w:rsid w:val="1E442B54"/>
    <w:rsid w:val="1E5A7852"/>
    <w:rsid w:val="1E5F2A03"/>
    <w:rsid w:val="1E635CD2"/>
    <w:rsid w:val="1E800D63"/>
    <w:rsid w:val="1F414A4E"/>
    <w:rsid w:val="1F4D39E1"/>
    <w:rsid w:val="1F98062B"/>
    <w:rsid w:val="1FAB426D"/>
    <w:rsid w:val="1FD01E97"/>
    <w:rsid w:val="20400576"/>
    <w:rsid w:val="20542C23"/>
    <w:rsid w:val="206C6482"/>
    <w:rsid w:val="20926A8E"/>
    <w:rsid w:val="20CD2927"/>
    <w:rsid w:val="20E91FFA"/>
    <w:rsid w:val="217148ED"/>
    <w:rsid w:val="21BF4633"/>
    <w:rsid w:val="21CE6288"/>
    <w:rsid w:val="2258502B"/>
    <w:rsid w:val="22CC4902"/>
    <w:rsid w:val="22E62115"/>
    <w:rsid w:val="23007193"/>
    <w:rsid w:val="233238B6"/>
    <w:rsid w:val="2351647C"/>
    <w:rsid w:val="236B6C33"/>
    <w:rsid w:val="23A917D0"/>
    <w:rsid w:val="23AE4BCD"/>
    <w:rsid w:val="23BF3DC4"/>
    <w:rsid w:val="23D22092"/>
    <w:rsid w:val="23EC6D85"/>
    <w:rsid w:val="244714D6"/>
    <w:rsid w:val="25445D4F"/>
    <w:rsid w:val="256D1256"/>
    <w:rsid w:val="25DD33F9"/>
    <w:rsid w:val="25E61842"/>
    <w:rsid w:val="261278D7"/>
    <w:rsid w:val="261B0069"/>
    <w:rsid w:val="26205F5F"/>
    <w:rsid w:val="26526542"/>
    <w:rsid w:val="26736173"/>
    <w:rsid w:val="270647D9"/>
    <w:rsid w:val="273D2C55"/>
    <w:rsid w:val="277042CA"/>
    <w:rsid w:val="279965C0"/>
    <w:rsid w:val="280C13A7"/>
    <w:rsid w:val="2865766A"/>
    <w:rsid w:val="28844EBA"/>
    <w:rsid w:val="28A77A15"/>
    <w:rsid w:val="28B02680"/>
    <w:rsid w:val="28DA65A7"/>
    <w:rsid w:val="28ED3E32"/>
    <w:rsid w:val="28EF63F4"/>
    <w:rsid w:val="2919281C"/>
    <w:rsid w:val="29B6011C"/>
    <w:rsid w:val="2A350C55"/>
    <w:rsid w:val="2A910581"/>
    <w:rsid w:val="2AAE5308"/>
    <w:rsid w:val="2AB844E8"/>
    <w:rsid w:val="2ABB7A11"/>
    <w:rsid w:val="2AFF387E"/>
    <w:rsid w:val="2B151EFD"/>
    <w:rsid w:val="2B192052"/>
    <w:rsid w:val="2B2364F1"/>
    <w:rsid w:val="2B26284F"/>
    <w:rsid w:val="2B273322"/>
    <w:rsid w:val="2B2772A6"/>
    <w:rsid w:val="2BA06303"/>
    <w:rsid w:val="2BBD0D15"/>
    <w:rsid w:val="2BD16FA6"/>
    <w:rsid w:val="2BF0688B"/>
    <w:rsid w:val="2C1134D1"/>
    <w:rsid w:val="2E0F171C"/>
    <w:rsid w:val="2E1E3810"/>
    <w:rsid w:val="2E35424E"/>
    <w:rsid w:val="2E3B0134"/>
    <w:rsid w:val="2E800DFC"/>
    <w:rsid w:val="2E8A4439"/>
    <w:rsid w:val="2F0A3439"/>
    <w:rsid w:val="2F4D5B5E"/>
    <w:rsid w:val="2F575E92"/>
    <w:rsid w:val="2FC876D5"/>
    <w:rsid w:val="2FF651D9"/>
    <w:rsid w:val="2FFD04C0"/>
    <w:rsid w:val="3028404C"/>
    <w:rsid w:val="30701646"/>
    <w:rsid w:val="31A72DBD"/>
    <w:rsid w:val="31BA79F5"/>
    <w:rsid w:val="31F919DB"/>
    <w:rsid w:val="329D4514"/>
    <w:rsid w:val="32A97F11"/>
    <w:rsid w:val="32CA6198"/>
    <w:rsid w:val="3351331C"/>
    <w:rsid w:val="33556CF8"/>
    <w:rsid w:val="33706BFD"/>
    <w:rsid w:val="337E0980"/>
    <w:rsid w:val="339F119D"/>
    <w:rsid w:val="34324DE8"/>
    <w:rsid w:val="3433449F"/>
    <w:rsid w:val="3470672D"/>
    <w:rsid w:val="34C90B2F"/>
    <w:rsid w:val="351E342A"/>
    <w:rsid w:val="35521F20"/>
    <w:rsid w:val="36684E6E"/>
    <w:rsid w:val="366D2290"/>
    <w:rsid w:val="36C817B4"/>
    <w:rsid w:val="37133AE4"/>
    <w:rsid w:val="37176173"/>
    <w:rsid w:val="37E0098F"/>
    <w:rsid w:val="380C3D64"/>
    <w:rsid w:val="38F402BF"/>
    <w:rsid w:val="38FD162F"/>
    <w:rsid w:val="3982141B"/>
    <w:rsid w:val="3A1A68F6"/>
    <w:rsid w:val="3A3C7F84"/>
    <w:rsid w:val="3B737214"/>
    <w:rsid w:val="3B8D2D6E"/>
    <w:rsid w:val="3BA06E58"/>
    <w:rsid w:val="3D175638"/>
    <w:rsid w:val="3D424456"/>
    <w:rsid w:val="3D5716D3"/>
    <w:rsid w:val="3D5A2191"/>
    <w:rsid w:val="3DCA1DE3"/>
    <w:rsid w:val="3DED4826"/>
    <w:rsid w:val="3DF06460"/>
    <w:rsid w:val="3DF7062A"/>
    <w:rsid w:val="3E0C057E"/>
    <w:rsid w:val="3E7B187B"/>
    <w:rsid w:val="3ED729B7"/>
    <w:rsid w:val="3F5B71DA"/>
    <w:rsid w:val="3FC93EEB"/>
    <w:rsid w:val="40552A3C"/>
    <w:rsid w:val="40F62828"/>
    <w:rsid w:val="40FD53B8"/>
    <w:rsid w:val="41061940"/>
    <w:rsid w:val="41424F2B"/>
    <w:rsid w:val="41A57F71"/>
    <w:rsid w:val="41BE0F0F"/>
    <w:rsid w:val="41FD7C93"/>
    <w:rsid w:val="422E7AE0"/>
    <w:rsid w:val="422F7AF0"/>
    <w:rsid w:val="424617ED"/>
    <w:rsid w:val="435A0812"/>
    <w:rsid w:val="43656E11"/>
    <w:rsid w:val="43ED212A"/>
    <w:rsid w:val="4402725D"/>
    <w:rsid w:val="44346B00"/>
    <w:rsid w:val="447D269F"/>
    <w:rsid w:val="44B56A2E"/>
    <w:rsid w:val="44CE085F"/>
    <w:rsid w:val="45505132"/>
    <w:rsid w:val="45CF163E"/>
    <w:rsid w:val="4620681F"/>
    <w:rsid w:val="47860C42"/>
    <w:rsid w:val="47B0176E"/>
    <w:rsid w:val="47C54925"/>
    <w:rsid w:val="481303A3"/>
    <w:rsid w:val="481B4158"/>
    <w:rsid w:val="48881219"/>
    <w:rsid w:val="488A1609"/>
    <w:rsid w:val="48C658BE"/>
    <w:rsid w:val="48FD59E9"/>
    <w:rsid w:val="49104756"/>
    <w:rsid w:val="49115EC3"/>
    <w:rsid w:val="49306995"/>
    <w:rsid w:val="49361AC5"/>
    <w:rsid w:val="4A241AA8"/>
    <w:rsid w:val="4AAD7631"/>
    <w:rsid w:val="4B147937"/>
    <w:rsid w:val="4B3E72FF"/>
    <w:rsid w:val="4B4354C8"/>
    <w:rsid w:val="4B5C5F6F"/>
    <w:rsid w:val="4BB41D57"/>
    <w:rsid w:val="4C2C6666"/>
    <w:rsid w:val="4C3C1D90"/>
    <w:rsid w:val="4CAF7B00"/>
    <w:rsid w:val="4CDD405A"/>
    <w:rsid w:val="4CE054B6"/>
    <w:rsid w:val="4CF62614"/>
    <w:rsid w:val="4D4917AC"/>
    <w:rsid w:val="4D80082F"/>
    <w:rsid w:val="4DA12F92"/>
    <w:rsid w:val="4E132648"/>
    <w:rsid w:val="4ED04461"/>
    <w:rsid w:val="4F031297"/>
    <w:rsid w:val="4F2A0E93"/>
    <w:rsid w:val="4F476012"/>
    <w:rsid w:val="4F854204"/>
    <w:rsid w:val="4F8662EB"/>
    <w:rsid w:val="4FA738CF"/>
    <w:rsid w:val="50513978"/>
    <w:rsid w:val="509219C7"/>
    <w:rsid w:val="50EE1494"/>
    <w:rsid w:val="51150730"/>
    <w:rsid w:val="51644E3D"/>
    <w:rsid w:val="51ED7DDD"/>
    <w:rsid w:val="524747AA"/>
    <w:rsid w:val="52876EBB"/>
    <w:rsid w:val="530A1AFB"/>
    <w:rsid w:val="53311FF5"/>
    <w:rsid w:val="5340255B"/>
    <w:rsid w:val="53420194"/>
    <w:rsid w:val="53447953"/>
    <w:rsid w:val="53630D88"/>
    <w:rsid w:val="53C91FEF"/>
    <w:rsid w:val="540242E2"/>
    <w:rsid w:val="546068C6"/>
    <w:rsid w:val="54C6469C"/>
    <w:rsid w:val="54F05C5D"/>
    <w:rsid w:val="55082C30"/>
    <w:rsid w:val="551203F9"/>
    <w:rsid w:val="554327B7"/>
    <w:rsid w:val="557866BA"/>
    <w:rsid w:val="55E8353F"/>
    <w:rsid w:val="55F66D5D"/>
    <w:rsid w:val="562542E3"/>
    <w:rsid w:val="56327F68"/>
    <w:rsid w:val="56727463"/>
    <w:rsid w:val="56A60665"/>
    <w:rsid w:val="56C10BB4"/>
    <w:rsid w:val="56D56227"/>
    <w:rsid w:val="56DB614A"/>
    <w:rsid w:val="57160C38"/>
    <w:rsid w:val="575C7790"/>
    <w:rsid w:val="57D93011"/>
    <w:rsid w:val="58067A87"/>
    <w:rsid w:val="5893458F"/>
    <w:rsid w:val="58BF4D17"/>
    <w:rsid w:val="58F47853"/>
    <w:rsid w:val="5949529E"/>
    <w:rsid w:val="59633770"/>
    <w:rsid w:val="596B4206"/>
    <w:rsid w:val="597D5317"/>
    <w:rsid w:val="599B1A0E"/>
    <w:rsid w:val="5A233364"/>
    <w:rsid w:val="5A3534A5"/>
    <w:rsid w:val="5A6E092C"/>
    <w:rsid w:val="5A975481"/>
    <w:rsid w:val="5AB32F53"/>
    <w:rsid w:val="5B0E681A"/>
    <w:rsid w:val="5B2225C2"/>
    <w:rsid w:val="5B7C1DB1"/>
    <w:rsid w:val="5C2A0A2F"/>
    <w:rsid w:val="5C4C63A4"/>
    <w:rsid w:val="5C4D067E"/>
    <w:rsid w:val="5CE23ABF"/>
    <w:rsid w:val="5D1D21C4"/>
    <w:rsid w:val="5E380C60"/>
    <w:rsid w:val="5E823909"/>
    <w:rsid w:val="5FB929FB"/>
    <w:rsid w:val="60187472"/>
    <w:rsid w:val="604E28F6"/>
    <w:rsid w:val="6069028A"/>
    <w:rsid w:val="60774720"/>
    <w:rsid w:val="6098574B"/>
    <w:rsid w:val="60E07AE9"/>
    <w:rsid w:val="61097650"/>
    <w:rsid w:val="619A27B9"/>
    <w:rsid w:val="62056D2C"/>
    <w:rsid w:val="650F22D1"/>
    <w:rsid w:val="65613EBA"/>
    <w:rsid w:val="66022823"/>
    <w:rsid w:val="66BE7F1A"/>
    <w:rsid w:val="66D45E87"/>
    <w:rsid w:val="66DD7DEF"/>
    <w:rsid w:val="670E6EF9"/>
    <w:rsid w:val="67250034"/>
    <w:rsid w:val="676F590A"/>
    <w:rsid w:val="67875704"/>
    <w:rsid w:val="679A424D"/>
    <w:rsid w:val="67A0604A"/>
    <w:rsid w:val="67AE6C44"/>
    <w:rsid w:val="67EA5686"/>
    <w:rsid w:val="680B7FCC"/>
    <w:rsid w:val="68F067A1"/>
    <w:rsid w:val="68FD1667"/>
    <w:rsid w:val="69424BDB"/>
    <w:rsid w:val="69473A0D"/>
    <w:rsid w:val="699C01EC"/>
    <w:rsid w:val="69D77461"/>
    <w:rsid w:val="6A3E632A"/>
    <w:rsid w:val="6A687933"/>
    <w:rsid w:val="6A854A3A"/>
    <w:rsid w:val="6AE805C2"/>
    <w:rsid w:val="6B0126FB"/>
    <w:rsid w:val="6BB03245"/>
    <w:rsid w:val="6BC37DBE"/>
    <w:rsid w:val="6BFD348E"/>
    <w:rsid w:val="6C5F25AE"/>
    <w:rsid w:val="6C7C239B"/>
    <w:rsid w:val="6C7C3087"/>
    <w:rsid w:val="6C9577C4"/>
    <w:rsid w:val="6CC15A10"/>
    <w:rsid w:val="6CCB15A4"/>
    <w:rsid w:val="6CEC345F"/>
    <w:rsid w:val="6CF42741"/>
    <w:rsid w:val="6D4736FF"/>
    <w:rsid w:val="6D6A6F1E"/>
    <w:rsid w:val="6DE9777D"/>
    <w:rsid w:val="6E0852A2"/>
    <w:rsid w:val="6E274E6E"/>
    <w:rsid w:val="6E7C538F"/>
    <w:rsid w:val="6EA80FE1"/>
    <w:rsid w:val="6EC41C8D"/>
    <w:rsid w:val="6F6F3C8B"/>
    <w:rsid w:val="6F7D670C"/>
    <w:rsid w:val="6FEF7D84"/>
    <w:rsid w:val="70803760"/>
    <w:rsid w:val="70B75C19"/>
    <w:rsid w:val="71936DAB"/>
    <w:rsid w:val="722C7215"/>
    <w:rsid w:val="72771E7A"/>
    <w:rsid w:val="739118C1"/>
    <w:rsid w:val="74111E48"/>
    <w:rsid w:val="74380CB4"/>
    <w:rsid w:val="748D04F8"/>
    <w:rsid w:val="74917128"/>
    <w:rsid w:val="75047B0C"/>
    <w:rsid w:val="753C4F21"/>
    <w:rsid w:val="754B77E1"/>
    <w:rsid w:val="75F26235"/>
    <w:rsid w:val="75FF45C3"/>
    <w:rsid w:val="767369C2"/>
    <w:rsid w:val="767D6088"/>
    <w:rsid w:val="768344DA"/>
    <w:rsid w:val="76A41607"/>
    <w:rsid w:val="76CB7E6F"/>
    <w:rsid w:val="771F29C9"/>
    <w:rsid w:val="772D4E72"/>
    <w:rsid w:val="7754204D"/>
    <w:rsid w:val="777B016F"/>
    <w:rsid w:val="777E155F"/>
    <w:rsid w:val="778D00D9"/>
    <w:rsid w:val="77DE4ED7"/>
    <w:rsid w:val="78166019"/>
    <w:rsid w:val="784E4A98"/>
    <w:rsid w:val="785E4B26"/>
    <w:rsid w:val="789450EB"/>
    <w:rsid w:val="78BA2B74"/>
    <w:rsid w:val="7918586A"/>
    <w:rsid w:val="79917DCC"/>
    <w:rsid w:val="7998362B"/>
    <w:rsid w:val="7A302ECB"/>
    <w:rsid w:val="7AAB5274"/>
    <w:rsid w:val="7BA4414D"/>
    <w:rsid w:val="7BD879A3"/>
    <w:rsid w:val="7BDC40F1"/>
    <w:rsid w:val="7C40301E"/>
    <w:rsid w:val="7C914C39"/>
    <w:rsid w:val="7C920661"/>
    <w:rsid w:val="7C9B00E1"/>
    <w:rsid w:val="7CA66ECA"/>
    <w:rsid w:val="7D0B1FBA"/>
    <w:rsid w:val="7D275947"/>
    <w:rsid w:val="7D3E66AF"/>
    <w:rsid w:val="7D3E68D7"/>
    <w:rsid w:val="7D5C22B0"/>
    <w:rsid w:val="7D8C59F2"/>
    <w:rsid w:val="7DB34542"/>
    <w:rsid w:val="7E1E5A96"/>
    <w:rsid w:val="7E604F92"/>
    <w:rsid w:val="7EA96BFF"/>
    <w:rsid w:val="7EB87FD2"/>
    <w:rsid w:val="7F991C40"/>
    <w:rsid w:val="7FA03503"/>
    <w:rsid w:val="7FD10E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styleId="3">
    <w:name w:val="Body Text Indent"/>
    <w:basedOn w:val="1"/>
    <w:qFormat/>
    <w:uiPriority w:val="0"/>
    <w:pPr>
      <w:spacing w:line="360" w:lineRule="auto"/>
      <w:ind w:firstLine="615"/>
    </w:pPr>
    <w:rPr>
      <w:rFonts w:eastAsia="楷体_GB2312"/>
      <w:sz w:val="24"/>
    </w:rPr>
  </w:style>
  <w:style w:type="paragraph" w:styleId="4">
    <w:name w:val="Block Text"/>
    <w:basedOn w:val="1"/>
    <w:qFormat/>
    <w:uiPriority w:val="0"/>
    <w:pPr>
      <w:spacing w:after="120" w:line="560" w:lineRule="exact"/>
      <w:ind w:left="1440" w:leftChars="700" w:right="1440" w:rightChars="700" w:firstLine="200" w:firstLineChars="200"/>
    </w:pPr>
    <w:rPr>
      <w:rFonts w:ascii="Times New Roman" w:hAnsi="Times New Roman" w:eastAsia="仿宋_GB2312" w:cs="Times New Roman"/>
      <w:kern w:val="32"/>
      <w:sz w:val="32"/>
    </w:rPr>
  </w:style>
  <w:style w:type="paragraph" w:styleId="5">
    <w:name w:val="footer"/>
    <w:basedOn w:val="1"/>
    <w:qFormat/>
    <w:uiPriority w:val="0"/>
    <w:pPr>
      <w:tabs>
        <w:tab w:val="center" w:pos="4153"/>
        <w:tab w:val="right" w:pos="8306"/>
      </w:tabs>
      <w:snapToGrid w:val="0"/>
      <w:jc w:val="left"/>
    </w:pPr>
    <w:rPr>
      <w:kern w:val="0"/>
      <w:sz w:val="18"/>
      <w:szCs w:val="18"/>
    </w:rPr>
  </w:style>
  <w:style w:type="paragraph" w:styleId="6">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7">
    <w:name w:val="Normal (Web)"/>
    <w:basedOn w:val="1"/>
    <w:qFormat/>
    <w:uiPriority w:val="0"/>
    <w:pPr>
      <w:spacing w:beforeAutospacing="1" w:afterAutospacing="1"/>
      <w:jc w:val="left"/>
    </w:pPr>
    <w:rPr>
      <w:rFonts w:ascii="Calibri" w:hAnsi="Calibri" w:eastAsia="宋体" w:cs="Times New Roman"/>
      <w:kern w:val="0"/>
      <w:sz w:val="24"/>
    </w:rPr>
  </w:style>
  <w:style w:type="character" w:styleId="10">
    <w:name w:val="Strong"/>
    <w:qFormat/>
    <w:uiPriority w:val="0"/>
    <w:rPr>
      <w:b/>
    </w:rPr>
  </w:style>
  <w:style w:type="character" w:styleId="11">
    <w:name w:val="page number"/>
    <w:qFormat/>
    <w:uiPriority w:val="0"/>
    <w:rPr>
      <w:rFonts w:ascii="Times New Roman" w:hAnsi="Times New Roman" w:eastAsia="宋体" w:cs="Times New Roman"/>
    </w:rPr>
  </w:style>
  <w:style w:type="character" w:styleId="12">
    <w:name w:val="Hyperlink"/>
    <w:qFormat/>
    <w:uiPriority w:val="0"/>
    <w:rPr>
      <w:rFonts w:ascii="Times New Roman" w:hAnsi="Times New Roman" w:eastAsia="宋体" w:cs="Times New Roman"/>
      <w:color w:val="0000FF"/>
      <w:u w:val="single"/>
    </w:rPr>
  </w:style>
  <w:style w:type="paragraph" w:customStyle="1" w:styleId="13">
    <w:name w:val="章题"/>
    <w:basedOn w:val="1"/>
    <w:next w:val="4"/>
    <w:qFormat/>
    <w:uiPriority w:val="0"/>
    <w:pPr>
      <w:spacing w:line="560" w:lineRule="exact"/>
      <w:jc w:val="center"/>
    </w:pPr>
    <w:rPr>
      <w:rFonts w:ascii="Times New Roman" w:hAnsi="Times New Roman" w:eastAsia="宋体" w:cs="Times New Roman"/>
      <w:b/>
      <w:kern w:val="32"/>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Office_11.8.6.8697_F1E327BC-269C-435d-A152-05C5408002CA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2020-10-16T06:33:00Z</dcterms:created>
  <dc:creator>WPS_1600169138</dc:creator>
  <cp:lastModifiedBy>靖翔</cp:lastModifiedBy>
  <cp:lastPrinted>2021-01-13T09:42:35Z</cp:lastPrinted>
  <dcterms:modified xsi:type="dcterms:W3CDTF">2021-01-13T09:43:39Z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2052-11.8.6.8697</vt:lpwstr>
  </property>
</Properties>
</file>